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421" w:rsidRDefault="00385F6A">
      <w:pPr>
        <w:pStyle w:val="ab"/>
        <w:spacing w:after="0" w:line="240" w:lineRule="auto"/>
        <w:rPr>
          <w:rFonts w:eastAsia="Arial Bold" w:cs="Arial"/>
          <w:bCs/>
          <w:sz w:val="24"/>
          <w:lang w:eastAsia="zh-CN"/>
        </w:rPr>
      </w:pPr>
      <w:r>
        <w:rPr>
          <w:rFonts w:eastAsia="Arial Bold" w:cs="Arial"/>
          <w:bCs/>
          <w:sz w:val="24"/>
          <w:lang w:val="en-GB" w:eastAsia="zh-CN"/>
        </w:rPr>
        <w:t>3GPP TSG-RAN WG2 Meeting #10</w:t>
      </w:r>
      <w:r>
        <w:rPr>
          <w:rFonts w:eastAsia="Arial Bold" w:cs="Arial" w:hint="eastAsia"/>
          <w:bCs/>
          <w:sz w:val="24"/>
          <w:lang w:eastAsia="zh-CN"/>
        </w:rPr>
        <w:t>7</w:t>
      </w:r>
      <w:r>
        <w:rPr>
          <w:rFonts w:eastAsia="Arial Bold" w:cs="Arial"/>
          <w:bCs/>
          <w:sz w:val="24"/>
          <w:lang w:val="en-GB" w:eastAsia="zh-CN"/>
        </w:rPr>
        <w:t xml:space="preserve">                                                 </w:t>
      </w:r>
      <w:r>
        <w:rPr>
          <w:rFonts w:eastAsia="Arial Bold" w:cs="Arial" w:hint="eastAsia"/>
          <w:bCs/>
          <w:sz w:val="24"/>
          <w:lang w:eastAsia="zh-CN"/>
        </w:rPr>
        <w:t xml:space="preserve">    </w:t>
      </w:r>
      <w:r>
        <w:rPr>
          <w:rFonts w:eastAsia="Arial Bold" w:cs="Arial"/>
          <w:bCs/>
          <w:sz w:val="24"/>
          <w:lang w:val="en-GB" w:eastAsia="zh-CN"/>
        </w:rPr>
        <w:t xml:space="preserve">  </w:t>
      </w:r>
      <w:r>
        <w:rPr>
          <w:rFonts w:eastAsia="Arial Bold" w:cs="Arial"/>
          <w:bCs/>
          <w:sz w:val="24"/>
          <w:lang w:val="en-GB" w:eastAsia="zh-CN" w:bidi="ar"/>
        </w:rPr>
        <w:t>R2-1910013</w:t>
      </w:r>
    </w:p>
    <w:p w:rsidR="00183421" w:rsidRDefault="00385F6A">
      <w:pPr>
        <w:pStyle w:val="ab"/>
        <w:spacing w:after="0" w:line="240" w:lineRule="auto"/>
        <w:rPr>
          <w:rFonts w:eastAsia="Arial Bold" w:cs="Arial"/>
          <w:bCs/>
          <w:sz w:val="24"/>
          <w:lang w:val="en-GB" w:eastAsia="zh-CN"/>
        </w:rPr>
      </w:pPr>
      <w:r>
        <w:rPr>
          <w:rFonts w:eastAsia="Arial Bold" w:cs="Arial"/>
          <w:bCs/>
          <w:sz w:val="24"/>
          <w:lang w:val="en-GB" w:eastAsia="zh-CN"/>
        </w:rPr>
        <w:t>Prague, Czech Republic,26th - 30th August 2019</w:t>
      </w:r>
    </w:p>
    <w:p w:rsidR="00183421" w:rsidRDefault="00385F6A">
      <w:pPr>
        <w:pStyle w:val="ab"/>
        <w:spacing w:after="0" w:line="240" w:lineRule="auto"/>
        <w:rPr>
          <w:rFonts w:eastAsia="宋体" w:cs="Arial"/>
          <w:bCs/>
          <w:sz w:val="24"/>
          <w:lang w:val="en-GB" w:eastAsia="zh-CN"/>
        </w:rPr>
      </w:pPr>
      <w:r>
        <w:rPr>
          <w:rFonts w:eastAsia="Arial Bold" w:cs="Arial" w:hint="eastAsia"/>
          <w:bCs/>
          <w:sz w:val="24"/>
          <w:lang w:eastAsia="zh-CN"/>
        </w:rPr>
        <w:t xml:space="preserve">                </w:t>
      </w:r>
    </w:p>
    <w:p w:rsidR="00183421" w:rsidRDefault="00385F6A">
      <w:pPr>
        <w:pStyle w:val="ab"/>
        <w:tabs>
          <w:tab w:val="clear" w:pos="4536"/>
          <w:tab w:val="left" w:pos="1800"/>
        </w:tabs>
        <w:spacing w:after="0" w:line="240" w:lineRule="auto"/>
        <w:ind w:left="1800" w:hanging="1800"/>
        <w:rPr>
          <w:rFonts w:cs="Arial"/>
          <w:sz w:val="24"/>
          <w:lang w:eastAsia="zh-CN"/>
        </w:rPr>
      </w:pPr>
      <w:r>
        <w:rPr>
          <w:rFonts w:cs="Arial"/>
          <w:sz w:val="24"/>
        </w:rPr>
        <w:t>Source:</w:t>
      </w:r>
      <w:r>
        <w:rPr>
          <w:rFonts w:cs="Arial" w:hint="eastAsia"/>
          <w:sz w:val="24"/>
          <w:lang w:eastAsia="zh-CN"/>
        </w:rPr>
        <w:t xml:space="preserve">            </w:t>
      </w:r>
      <w:r>
        <w:rPr>
          <w:rFonts w:cs="Arial"/>
          <w:sz w:val="24"/>
          <w:lang w:eastAsia="zh-CN"/>
        </w:rPr>
        <w:t>vivo</w:t>
      </w:r>
    </w:p>
    <w:p w:rsidR="00183421" w:rsidRDefault="00385F6A">
      <w:pPr>
        <w:pStyle w:val="ab"/>
        <w:tabs>
          <w:tab w:val="clear" w:pos="4536"/>
          <w:tab w:val="left" w:pos="1800"/>
        </w:tabs>
        <w:spacing w:after="0" w:line="240" w:lineRule="auto"/>
        <w:ind w:left="1800" w:hanging="1800"/>
        <w:rPr>
          <w:rFonts w:cs="Arial"/>
          <w:sz w:val="24"/>
          <w:lang w:eastAsia="zh-CN"/>
        </w:rPr>
      </w:pPr>
      <w:r>
        <w:rPr>
          <w:rFonts w:cs="Arial"/>
          <w:sz w:val="24"/>
        </w:rPr>
        <w:t>Title:</w:t>
      </w:r>
      <w:bookmarkStart w:id="0" w:name="Title"/>
      <w:bookmarkEnd w:id="0"/>
      <w:r>
        <w:rPr>
          <w:rFonts w:cs="Arial" w:hint="eastAsia"/>
          <w:sz w:val="24"/>
          <w:lang w:eastAsia="zh-CN"/>
        </w:rPr>
        <w:t xml:space="preserve">                 </w:t>
      </w:r>
      <w:r>
        <w:rPr>
          <w:rFonts w:cs="Arial"/>
          <w:sz w:val="24"/>
          <w:lang w:eastAsia="zh-CN"/>
        </w:rPr>
        <w:t xml:space="preserve">Discussion on </w:t>
      </w:r>
      <w:r>
        <w:rPr>
          <w:rFonts w:cs="Arial" w:hint="eastAsia"/>
          <w:sz w:val="24"/>
          <w:lang w:eastAsia="zh-CN"/>
        </w:rPr>
        <w:t>SNPN/CAG cell access control</w:t>
      </w:r>
    </w:p>
    <w:p w:rsidR="00183421" w:rsidRDefault="00385F6A">
      <w:pPr>
        <w:pStyle w:val="ab"/>
        <w:tabs>
          <w:tab w:val="clear" w:pos="4536"/>
          <w:tab w:val="left" w:pos="1800"/>
        </w:tabs>
        <w:spacing w:after="0" w:line="240" w:lineRule="auto"/>
        <w:ind w:left="1800" w:hanging="1800"/>
        <w:rPr>
          <w:rFonts w:cs="Arial"/>
          <w:sz w:val="24"/>
          <w:lang w:eastAsia="zh-CN"/>
        </w:rPr>
      </w:pPr>
      <w:r>
        <w:rPr>
          <w:rFonts w:cs="Arial"/>
          <w:sz w:val="24"/>
        </w:rPr>
        <w:t>Agenda Item:</w:t>
      </w:r>
      <w:bookmarkStart w:id="1" w:name="Source"/>
      <w:bookmarkEnd w:id="1"/>
      <w:r>
        <w:rPr>
          <w:rFonts w:cs="Arial" w:hint="eastAsia"/>
          <w:sz w:val="24"/>
          <w:lang w:eastAsia="zh-CN"/>
        </w:rPr>
        <w:t xml:space="preserve">   </w:t>
      </w:r>
      <w:r>
        <w:rPr>
          <w:rFonts w:cs="Arial"/>
          <w:sz w:val="24"/>
        </w:rPr>
        <w:t>1</w:t>
      </w:r>
      <w:r>
        <w:rPr>
          <w:rFonts w:cs="Arial"/>
          <w:sz w:val="24"/>
          <w:lang w:eastAsia="zh-CN"/>
        </w:rPr>
        <w:t>1</w:t>
      </w:r>
      <w:r>
        <w:rPr>
          <w:rFonts w:cs="Arial"/>
          <w:sz w:val="24"/>
        </w:rPr>
        <w:t>.</w:t>
      </w:r>
      <w:r>
        <w:rPr>
          <w:rFonts w:cs="Arial" w:hint="eastAsia"/>
          <w:sz w:val="24"/>
          <w:lang w:eastAsia="zh-CN"/>
        </w:rPr>
        <w:t>18</w:t>
      </w:r>
    </w:p>
    <w:p w:rsidR="00183421" w:rsidRDefault="00385F6A">
      <w:pPr>
        <w:pStyle w:val="ab"/>
        <w:tabs>
          <w:tab w:val="clear" w:pos="4536"/>
          <w:tab w:val="left" w:pos="1800"/>
        </w:tabs>
        <w:spacing w:after="0" w:line="240" w:lineRule="auto"/>
        <w:ind w:left="1800" w:hanging="1800"/>
        <w:rPr>
          <w:rFonts w:cs="Arial"/>
          <w:sz w:val="24"/>
          <w:lang w:eastAsia="zh-CN"/>
        </w:rPr>
      </w:pPr>
      <w:r>
        <w:rPr>
          <w:rFonts w:cs="Arial"/>
          <w:sz w:val="24"/>
        </w:rPr>
        <w:t>Document for:</w:t>
      </w:r>
      <w:bookmarkStart w:id="2" w:name="DocumentFor"/>
      <w:bookmarkEnd w:id="2"/>
      <w:r>
        <w:rPr>
          <w:rFonts w:cs="Arial" w:hint="eastAsia"/>
          <w:sz w:val="24"/>
          <w:lang w:eastAsia="zh-CN"/>
        </w:rPr>
        <w:t xml:space="preserve">  </w:t>
      </w:r>
      <w:r>
        <w:rPr>
          <w:rFonts w:cs="Arial"/>
          <w:sz w:val="24"/>
        </w:rPr>
        <w:t>Discussion and Decision</w:t>
      </w:r>
    </w:p>
    <w:p w:rsidR="00183421" w:rsidRDefault="00385F6A">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rsidR="00183421" w:rsidRDefault="00385F6A">
      <w:pPr>
        <w:jc w:val="both"/>
        <w:rPr>
          <w:sz w:val="22"/>
          <w:szCs w:val="22"/>
        </w:rPr>
      </w:pPr>
      <w:r>
        <w:rPr>
          <w:sz w:val="22"/>
          <w:szCs w:val="22"/>
        </w:rPr>
        <w:t xml:space="preserve">In </w:t>
      </w:r>
      <w:r>
        <w:rPr>
          <w:rFonts w:eastAsiaTheme="minorEastAsia" w:hint="eastAsia"/>
          <w:sz w:val="22"/>
          <w:szCs w:val="22"/>
          <w:lang w:eastAsia="zh-CN"/>
        </w:rPr>
        <w:t xml:space="preserve">the </w:t>
      </w:r>
      <w:r>
        <w:rPr>
          <w:sz w:val="22"/>
          <w:szCs w:val="22"/>
        </w:rPr>
        <w:t>RAN#</w:t>
      </w:r>
      <w:r>
        <w:rPr>
          <w:rFonts w:eastAsia="宋体" w:hint="eastAsia"/>
          <w:sz w:val="22"/>
          <w:szCs w:val="22"/>
          <w:lang w:eastAsia="zh-CN"/>
        </w:rPr>
        <w:t>83</w:t>
      </w:r>
      <w:r>
        <w:rPr>
          <w:rFonts w:eastAsiaTheme="minorEastAsia" w:hint="eastAsia"/>
          <w:sz w:val="22"/>
          <w:szCs w:val="22"/>
          <w:lang w:eastAsia="zh-CN"/>
        </w:rPr>
        <w:t xml:space="preserve"> meeting</w:t>
      </w:r>
      <w:r>
        <w:rPr>
          <w:sz w:val="22"/>
          <w:szCs w:val="22"/>
        </w:rPr>
        <w:t xml:space="preserve">, </w:t>
      </w:r>
      <w:r>
        <w:rPr>
          <w:rFonts w:eastAsia="宋体" w:hint="eastAsia"/>
          <w:sz w:val="22"/>
          <w:szCs w:val="22"/>
          <w:lang w:eastAsia="zh-CN"/>
        </w:rPr>
        <w:t xml:space="preserve">a new work item on </w:t>
      </w:r>
      <w:r>
        <w:rPr>
          <w:rFonts w:eastAsia="宋体" w:hint="eastAsia"/>
          <w:i/>
          <w:iCs/>
          <w:sz w:val="22"/>
          <w:szCs w:val="22"/>
          <w:lang w:eastAsia="zh-CN"/>
        </w:rPr>
        <w:t>private network support for NG-RAN</w:t>
      </w:r>
      <w:r>
        <w:rPr>
          <w:rFonts w:eastAsia="宋体" w:hint="eastAsia"/>
          <w:sz w:val="22"/>
          <w:szCs w:val="22"/>
          <w:lang w:eastAsia="zh-CN"/>
        </w:rPr>
        <w:t xml:space="preserve"> is approved. One of the objects is abstracted as following</w:t>
      </w:r>
      <w:r>
        <w:rPr>
          <w:sz w:val="22"/>
          <w:szCs w:val="22"/>
        </w:rPr>
        <w:t>:</w:t>
      </w:r>
    </w:p>
    <w:p w:rsidR="00183421" w:rsidRDefault="00385F6A">
      <w:pPr>
        <w:numPr>
          <w:ilvl w:val="0"/>
          <w:numId w:val="10"/>
        </w:numPr>
        <w:ind w:right="-99"/>
        <w:rPr>
          <w:szCs w:val="20"/>
          <w:lang w:eastAsia="zh-CN"/>
        </w:rPr>
      </w:pPr>
      <w:r>
        <w:rPr>
          <w:szCs w:val="20"/>
          <w:lang w:eastAsia="zh-CN"/>
        </w:rPr>
        <w:t>Support NPN functionality in NG-RAN:</w:t>
      </w:r>
    </w:p>
    <w:p w:rsidR="00183421" w:rsidRDefault="00385F6A">
      <w:pPr>
        <w:numPr>
          <w:ilvl w:val="1"/>
          <w:numId w:val="10"/>
        </w:numPr>
        <w:ind w:right="-99"/>
        <w:rPr>
          <w:szCs w:val="20"/>
          <w:lang w:eastAsia="zh-CN"/>
        </w:rPr>
      </w:pPr>
      <w:r>
        <w:rPr>
          <w:szCs w:val="20"/>
          <w:lang w:eastAsia="zh-CN"/>
        </w:rPr>
        <w:t>CAG/SNPN relevant parameter broadcast from SIB</w:t>
      </w:r>
      <w:r>
        <w:rPr>
          <w:rFonts w:hint="eastAsia"/>
          <w:szCs w:val="20"/>
          <w:lang w:eastAsia="zh-CN"/>
        </w:rPr>
        <w:t xml:space="preserve"> </w:t>
      </w:r>
      <w:r>
        <w:rPr>
          <w:szCs w:val="20"/>
          <w:lang w:eastAsia="zh-CN"/>
        </w:rPr>
        <w:t>[RAN2]</w:t>
      </w:r>
    </w:p>
    <w:p w:rsidR="00183421" w:rsidRDefault="00385F6A">
      <w:pPr>
        <w:numPr>
          <w:ilvl w:val="1"/>
          <w:numId w:val="10"/>
        </w:numPr>
        <w:ind w:right="-99"/>
        <w:rPr>
          <w:szCs w:val="20"/>
          <w:lang w:eastAsia="zh-CN"/>
        </w:rPr>
      </w:pPr>
      <w:r>
        <w:rPr>
          <w:szCs w:val="20"/>
          <w:lang w:eastAsia="zh-CN"/>
        </w:rPr>
        <w:t>CAG/SNPN cell selection/reselection [RAN2]</w:t>
      </w:r>
    </w:p>
    <w:p w:rsidR="00183421" w:rsidRDefault="00385F6A">
      <w:pPr>
        <w:numPr>
          <w:ilvl w:val="1"/>
          <w:numId w:val="10"/>
        </w:numPr>
        <w:ind w:right="-99"/>
        <w:rPr>
          <w:szCs w:val="20"/>
          <w:lang w:eastAsia="zh-CN"/>
        </w:rPr>
      </w:pPr>
      <w:r>
        <w:rPr>
          <w:szCs w:val="20"/>
          <w:lang w:eastAsia="zh-CN"/>
        </w:rPr>
        <w:t>CAG/SNPN cell access control [RAN2/3]</w:t>
      </w:r>
    </w:p>
    <w:p w:rsidR="00183421" w:rsidRDefault="00385F6A">
      <w:pPr>
        <w:numPr>
          <w:ilvl w:val="1"/>
          <w:numId w:val="10"/>
        </w:numPr>
        <w:ind w:right="-99"/>
        <w:rPr>
          <w:szCs w:val="20"/>
          <w:lang w:eastAsia="zh-CN"/>
        </w:rPr>
      </w:pPr>
      <w:r>
        <w:rPr>
          <w:szCs w:val="20"/>
          <w:lang w:eastAsia="zh-CN"/>
        </w:rPr>
        <w:t xml:space="preserve">For CAG, in the case of Intra-RAT intra-system and inter-RAT intra-system, the connected mode mobility support [RAN2/3] </w:t>
      </w:r>
    </w:p>
    <w:p w:rsidR="00183421" w:rsidRDefault="00385F6A">
      <w:pPr>
        <w:numPr>
          <w:ilvl w:val="1"/>
          <w:numId w:val="10"/>
        </w:numPr>
        <w:ind w:right="-99"/>
        <w:rPr>
          <w:szCs w:val="20"/>
        </w:rPr>
      </w:pPr>
      <w:r>
        <w:rPr>
          <w:szCs w:val="20"/>
          <w:lang w:eastAsia="zh-CN"/>
        </w:rPr>
        <w:t>The connected mode mobility support within SNPN[RAN2/3]</w:t>
      </w:r>
    </w:p>
    <w:p w:rsidR="00183421" w:rsidRDefault="00385F6A">
      <w:pPr>
        <w:jc w:val="both"/>
        <w:rPr>
          <w:sz w:val="22"/>
          <w:szCs w:val="22"/>
          <w:lang w:eastAsia="zh-CN"/>
        </w:rPr>
      </w:pPr>
      <w:r>
        <w:rPr>
          <w:rFonts w:eastAsia="宋体" w:hint="eastAsia"/>
          <w:sz w:val="22"/>
          <w:szCs w:val="22"/>
          <w:lang w:eastAsia="zh-CN"/>
        </w:rPr>
        <w:t>In this contribution, we will focus on the SNPN/CAG cell access control.</w:t>
      </w:r>
    </w:p>
    <w:p w:rsidR="00183421" w:rsidRDefault="00385F6A">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183421" w:rsidRDefault="00385F6A">
      <w:pPr>
        <w:pStyle w:val="a7"/>
        <w:rPr>
          <w:rFonts w:eastAsia="宋体"/>
          <w:sz w:val="22"/>
          <w:szCs w:val="36"/>
          <w:lang w:eastAsia="zh-CN"/>
        </w:rPr>
      </w:pPr>
      <w:r>
        <w:rPr>
          <w:rFonts w:eastAsia="宋体" w:hint="eastAsia"/>
          <w:sz w:val="22"/>
          <w:szCs w:val="32"/>
          <w:lang w:eastAsia="zh-CN"/>
        </w:rPr>
        <w:t xml:space="preserve">According to TS 22.261, </w:t>
      </w:r>
      <w:r>
        <w:rPr>
          <w:sz w:val="22"/>
          <w:szCs w:val="32"/>
          <w:lang w:eastAsia="ko-KR"/>
        </w:rPr>
        <w:t>Non-public networks are intended for the sole us</w:t>
      </w:r>
      <w:r>
        <w:rPr>
          <w:rFonts w:eastAsia="宋体" w:hint="eastAsia"/>
          <w:sz w:val="22"/>
          <w:szCs w:val="32"/>
          <w:lang w:eastAsia="zh-CN"/>
        </w:rPr>
        <w:t>age</w:t>
      </w:r>
      <w:r>
        <w:rPr>
          <w:sz w:val="22"/>
          <w:szCs w:val="32"/>
          <w:lang w:eastAsia="ko-KR"/>
        </w:rPr>
        <w:t xml:space="preserve"> of a private entity such as an enterprise, and may be deployed in a variety of configurations, utilising both virtual and physical elements</w:t>
      </w:r>
      <w:r>
        <w:rPr>
          <w:sz w:val="22"/>
          <w:szCs w:val="32"/>
          <w:lang w:eastAsia="ja-JP"/>
        </w:rPr>
        <w:t xml:space="preserve">. </w:t>
      </w:r>
      <w:r>
        <w:rPr>
          <w:lang w:eastAsia="ja-JP"/>
        </w:rPr>
        <w:t>Specifically,</w:t>
      </w:r>
      <w:r>
        <w:rPr>
          <w:rFonts w:eastAsia="宋体" w:hint="eastAsia"/>
          <w:lang w:eastAsia="zh-CN"/>
        </w:rPr>
        <w:t xml:space="preserve"> a</w:t>
      </w:r>
      <w:r>
        <w:rPr>
          <w:rFonts w:eastAsia="宋体" w:hint="eastAsia"/>
          <w:sz w:val="22"/>
          <w:szCs w:val="36"/>
          <w:lang w:eastAsia="zh-CN"/>
        </w:rPr>
        <w:t>s described in TS 23.501, a Non-Public Network for non-public use can be supported via 5GS. An NPN may be deployed as:</w:t>
      </w:r>
    </w:p>
    <w:p w:rsidR="00183421" w:rsidRDefault="00385F6A">
      <w:pPr>
        <w:pStyle w:val="a7"/>
        <w:ind w:firstLineChars="200" w:firstLine="440"/>
        <w:rPr>
          <w:rFonts w:eastAsia="宋体"/>
          <w:sz w:val="22"/>
          <w:szCs w:val="36"/>
          <w:lang w:eastAsia="zh-CN"/>
        </w:rPr>
      </w:pPr>
      <w:r>
        <w:rPr>
          <w:rFonts w:eastAsia="宋体" w:hint="eastAsia"/>
          <w:sz w:val="22"/>
          <w:szCs w:val="36"/>
          <w:lang w:eastAsia="zh-CN"/>
        </w:rPr>
        <w:t>- a Stand-alone Non-Public Network (SNPN), i.e. operated by an NPN operator and not relying on network functions provided by a PLMN, or</w:t>
      </w:r>
    </w:p>
    <w:p w:rsidR="00183421" w:rsidRDefault="00385F6A">
      <w:pPr>
        <w:pStyle w:val="a7"/>
        <w:ind w:firstLineChars="200" w:firstLine="440"/>
        <w:rPr>
          <w:rFonts w:eastAsia="宋体"/>
          <w:sz w:val="22"/>
          <w:szCs w:val="36"/>
          <w:lang w:eastAsia="zh-CN"/>
        </w:rPr>
      </w:pPr>
      <w:r>
        <w:rPr>
          <w:rFonts w:eastAsia="宋体" w:hint="eastAsia"/>
          <w:sz w:val="22"/>
          <w:szCs w:val="36"/>
          <w:lang w:eastAsia="zh-CN"/>
        </w:rPr>
        <w:t xml:space="preserve">- a Public network integrated NPN, i.e. a non-public network deployed with the support of a PLMN. </w:t>
      </w:r>
    </w:p>
    <w:p w:rsidR="00183421" w:rsidRDefault="00385F6A">
      <w:pPr>
        <w:jc w:val="both"/>
        <w:rPr>
          <w:rFonts w:eastAsia="宋体"/>
          <w:sz w:val="22"/>
          <w:szCs w:val="36"/>
          <w:lang w:val="fr-FR" w:eastAsia="zh-CN"/>
        </w:rPr>
      </w:pPr>
      <w:r>
        <w:rPr>
          <w:rFonts w:eastAsia="宋体" w:hint="eastAsia"/>
          <w:sz w:val="22"/>
          <w:szCs w:val="36"/>
          <w:lang w:eastAsia="ko-KR"/>
        </w:rPr>
        <w:t>I</w:t>
      </w:r>
      <w:r>
        <w:rPr>
          <w:rFonts w:eastAsia="宋体" w:hint="eastAsia"/>
          <w:sz w:val="22"/>
          <w:szCs w:val="36"/>
          <w:lang w:eastAsia="ja-JP"/>
        </w:rPr>
        <w:t>n any of these deployment options, i</w:t>
      </w:r>
      <w:r>
        <w:rPr>
          <w:rFonts w:eastAsia="宋体" w:hint="eastAsia"/>
          <w:sz w:val="22"/>
          <w:szCs w:val="36"/>
          <w:lang w:eastAsia="ko-KR"/>
        </w:rPr>
        <w:t>t is expected that un</w:t>
      </w:r>
      <w:r>
        <w:rPr>
          <w:rFonts w:eastAsia="宋体" w:hint="eastAsia"/>
          <w:sz w:val="22"/>
          <w:szCs w:val="36"/>
          <w:lang w:eastAsia="zh-CN"/>
        </w:rPr>
        <w:t>authorized</w:t>
      </w:r>
      <w:r>
        <w:rPr>
          <w:rFonts w:eastAsia="宋体" w:hint="eastAsia"/>
          <w:sz w:val="22"/>
          <w:szCs w:val="36"/>
          <w:lang w:eastAsia="ko-KR"/>
        </w:rPr>
        <w:t xml:space="preserve"> UEs,</w:t>
      </w:r>
      <w:r>
        <w:rPr>
          <w:rFonts w:eastAsia="宋体" w:hint="eastAsia"/>
          <w:sz w:val="22"/>
          <w:szCs w:val="36"/>
          <w:lang w:eastAsia="zh-CN"/>
        </w:rPr>
        <w:t xml:space="preserve"> e.g.</w:t>
      </w:r>
      <w:r>
        <w:rPr>
          <w:rFonts w:eastAsia="宋体" w:hint="eastAsia"/>
          <w:sz w:val="22"/>
          <w:szCs w:val="36"/>
          <w:lang w:eastAsia="ko-KR"/>
        </w:rPr>
        <w:t xml:space="preserve"> those that are not associated with the enterprise, will not attempt to access the non-public network. It is also expected that UEs of the enterprise will not attempt to access a network they are not </w:t>
      </w:r>
      <w:r>
        <w:rPr>
          <w:rFonts w:eastAsia="宋体" w:hint="eastAsia"/>
          <w:sz w:val="22"/>
          <w:szCs w:val="36"/>
          <w:lang w:eastAsia="zh-CN"/>
        </w:rPr>
        <w:t>authorized</w:t>
      </w:r>
      <w:r>
        <w:rPr>
          <w:rFonts w:eastAsia="宋体" w:hint="eastAsia"/>
          <w:sz w:val="22"/>
          <w:szCs w:val="36"/>
          <w:lang w:eastAsia="ko-KR"/>
        </w:rPr>
        <w:t xml:space="preserve"> to access. </w:t>
      </w:r>
    </w:p>
    <w:p w:rsidR="00183421" w:rsidRDefault="00385F6A">
      <w:pPr>
        <w:pStyle w:val="20"/>
        <w:numPr>
          <w:ilvl w:val="1"/>
          <w:numId w:val="9"/>
        </w:numPr>
        <w:tabs>
          <w:tab w:val="clear" w:pos="567"/>
        </w:tabs>
        <w:rPr>
          <w:rFonts w:ascii="Times New Roman" w:hAnsi="Times New Roman" w:cs="Times New Roman"/>
          <w:sz w:val="24"/>
          <w:szCs w:val="40"/>
        </w:rPr>
      </w:pPr>
      <w:bookmarkStart w:id="5" w:name="OLE_LINK31"/>
      <w:bookmarkStart w:id="6" w:name="OLE_LINK29"/>
      <w:bookmarkStart w:id="7" w:name="OLE_LINK21"/>
      <w:bookmarkStart w:id="8" w:name="OLE_LINK30"/>
      <w:bookmarkStart w:id="9" w:name="OLE_LINK22"/>
      <w:bookmarkStart w:id="10" w:name="OLE_LINK24"/>
      <w:bookmarkStart w:id="11" w:name="OLE_LINK23"/>
      <w:bookmarkStart w:id="12" w:name="OLE_LINK28"/>
      <w:r>
        <w:rPr>
          <w:rFonts w:ascii="Times New Roman" w:eastAsia="宋体" w:hAnsi="Times New Roman" w:cs="Times New Roman"/>
          <w:sz w:val="24"/>
          <w:szCs w:val="40"/>
        </w:rPr>
        <w:t>Stand-alone Non-Public Network</w:t>
      </w:r>
    </w:p>
    <w:p w:rsidR="00183421" w:rsidRDefault="00385F6A">
      <w:pPr>
        <w:jc w:val="both"/>
        <w:rPr>
          <w:lang w:eastAsia="zh-CN"/>
        </w:rPr>
      </w:pPr>
      <w:r>
        <w:rPr>
          <w:rFonts w:hint="eastAsia"/>
          <w:sz w:val="22"/>
          <w:szCs w:val="22"/>
          <w:lang w:eastAsia="zh-CN"/>
        </w:rPr>
        <w:t>S</w:t>
      </w:r>
      <w:r>
        <w:rPr>
          <w:sz w:val="22"/>
          <w:szCs w:val="22"/>
          <w:lang w:eastAsia="zh-CN"/>
        </w:rPr>
        <w:t xml:space="preserve">NPN is only available for subscribed NPN UEs. The NPN UE can be configured with subscriber identifiers and credentials for NPN(s). For SNPN-enabled UE, UE can operate in SNPN access mode or not which depends on whether the SNPN access mode is activated or deactivated. For different </w:t>
      </w:r>
      <w:r>
        <w:rPr>
          <w:rFonts w:hint="eastAsia"/>
          <w:sz w:val="22"/>
          <w:szCs w:val="22"/>
          <w:lang w:eastAsia="zh-CN"/>
        </w:rPr>
        <w:t xml:space="preserve">operating </w:t>
      </w:r>
      <w:r>
        <w:rPr>
          <w:sz w:val="22"/>
          <w:szCs w:val="22"/>
          <w:lang w:eastAsia="zh-CN"/>
        </w:rPr>
        <w:t xml:space="preserve">mode, SNPN-enabled UE has following behavior as described in TS 23.501 clause </w:t>
      </w:r>
      <w:r>
        <w:rPr>
          <w:sz w:val="22"/>
          <w:szCs w:val="22"/>
        </w:rPr>
        <w:t>5.30.2.3</w:t>
      </w:r>
      <w:r>
        <w:rPr>
          <w:rFonts w:eastAsia="宋体"/>
          <w:sz w:val="22"/>
          <w:szCs w:val="22"/>
          <w:lang w:eastAsia="zh-CN"/>
        </w:rPr>
        <w:t>:</w:t>
      </w:r>
    </w:p>
    <w:p w:rsidR="00183421" w:rsidRDefault="00385F6A">
      <w:pPr>
        <w:numPr>
          <w:ilvl w:val="0"/>
          <w:numId w:val="11"/>
        </w:numPr>
        <w:ind w:left="420" w:firstLineChars="100" w:firstLine="200"/>
        <w:jc w:val="both"/>
      </w:pPr>
      <w:r>
        <w:rPr>
          <w:rFonts w:eastAsia="宋体" w:hint="eastAsia"/>
          <w:lang w:eastAsia="zh-CN"/>
        </w:rPr>
        <w:t xml:space="preserve"> </w:t>
      </w:r>
      <w:r>
        <w:t>An SNPN-enabled UE supports the SNPN access mode. When the UE is set to operate in SNPN access mode the UE only selects and registers with SNPNs over Uu as described in clause 5.30.2.4.</w:t>
      </w:r>
    </w:p>
    <w:p w:rsidR="00183421" w:rsidRDefault="00385F6A">
      <w:pPr>
        <w:numPr>
          <w:ilvl w:val="0"/>
          <w:numId w:val="11"/>
        </w:numPr>
        <w:ind w:left="420" w:firstLineChars="100" w:firstLine="200"/>
        <w:jc w:val="both"/>
        <w:rPr>
          <w:lang w:eastAsia="zh-CN"/>
        </w:rPr>
      </w:pPr>
      <w:r>
        <w:t>If a UE is not set to operate in SNPN access mode, even if it is SNPN-enabled, the UE does not select and register with SNPNs.</w:t>
      </w:r>
    </w:p>
    <w:p w:rsidR="00183421" w:rsidRDefault="00385F6A">
      <w:pPr>
        <w:pStyle w:val="a7"/>
        <w:rPr>
          <w:rFonts w:eastAsia="宋体"/>
          <w:sz w:val="22"/>
          <w:szCs w:val="32"/>
          <w:lang w:eastAsia="zh-CN"/>
        </w:rPr>
      </w:pPr>
      <w:r>
        <w:rPr>
          <w:rFonts w:eastAsia="宋体" w:hint="eastAsia"/>
          <w:sz w:val="22"/>
          <w:szCs w:val="32"/>
          <w:lang w:eastAsia="zh-CN"/>
        </w:rPr>
        <w:t xml:space="preserve">The following table </w:t>
      </w:r>
      <w:r>
        <w:rPr>
          <w:rFonts w:eastAsia="宋体"/>
          <w:sz w:val="22"/>
          <w:szCs w:val="32"/>
          <w:lang w:eastAsia="zh-CN"/>
        </w:rPr>
        <w:t>summarizes</w:t>
      </w:r>
      <w:r>
        <w:rPr>
          <w:rFonts w:eastAsia="宋体" w:hint="eastAsia"/>
          <w:sz w:val="22"/>
          <w:szCs w:val="32"/>
          <w:lang w:eastAsia="zh-CN"/>
        </w:rPr>
        <w:t xml:space="preserve"> that for SNPN deployment scenario whether UE is allowed to access a cell or not under different cases.</w:t>
      </w:r>
    </w:p>
    <w:p w:rsidR="00183421" w:rsidRDefault="00385F6A">
      <w:pPr>
        <w:pStyle w:val="a7"/>
        <w:jc w:val="center"/>
        <w:rPr>
          <w:rFonts w:eastAsia="宋体"/>
          <w:sz w:val="21"/>
          <w:szCs w:val="28"/>
          <w:lang w:eastAsia="zh-CN"/>
        </w:rPr>
      </w:pPr>
      <w:r>
        <w:rPr>
          <w:rFonts w:eastAsia="宋体" w:hint="eastAsia"/>
          <w:sz w:val="21"/>
          <w:szCs w:val="28"/>
          <w:lang w:eastAsia="zh-CN"/>
        </w:rPr>
        <w:lastRenderedPageBreak/>
        <w:t>Table 1.  UE behavior under different type of cell</w:t>
      </w:r>
    </w:p>
    <w:tbl>
      <w:tblPr>
        <w:tblStyle w:val="ae"/>
        <w:tblW w:w="9258" w:type="dxa"/>
        <w:tblLayout w:type="fixed"/>
        <w:tblLook w:val="04A0" w:firstRow="1" w:lastRow="0" w:firstColumn="1" w:lastColumn="0" w:noHBand="0" w:noVBand="1"/>
      </w:tblPr>
      <w:tblGrid>
        <w:gridCol w:w="3420"/>
        <w:gridCol w:w="1516"/>
        <w:gridCol w:w="1934"/>
        <w:gridCol w:w="2388"/>
      </w:tblGrid>
      <w:tr w:rsidR="00183421">
        <w:tc>
          <w:tcPr>
            <w:tcW w:w="3420" w:type="dxa"/>
          </w:tcPr>
          <w:p w:rsidR="00183421" w:rsidRDefault="00183421">
            <w:pPr>
              <w:rPr>
                <w:rFonts w:eastAsia="宋体"/>
                <w:lang w:eastAsia="zh-CN"/>
              </w:rPr>
            </w:pPr>
          </w:p>
        </w:tc>
        <w:tc>
          <w:tcPr>
            <w:tcW w:w="1516" w:type="dxa"/>
          </w:tcPr>
          <w:p w:rsidR="00183421" w:rsidRDefault="00385F6A">
            <w:pPr>
              <w:jc w:val="center"/>
              <w:rPr>
                <w:rFonts w:eastAsia="宋体"/>
                <w:lang w:eastAsia="zh-CN"/>
              </w:rPr>
            </w:pPr>
            <w:r>
              <w:rPr>
                <w:rFonts w:eastAsia="宋体" w:hint="eastAsia"/>
                <w:lang w:eastAsia="zh-CN"/>
              </w:rPr>
              <w:t>Legacy cell</w:t>
            </w:r>
          </w:p>
        </w:tc>
        <w:tc>
          <w:tcPr>
            <w:tcW w:w="1934" w:type="dxa"/>
          </w:tcPr>
          <w:p w:rsidR="00183421" w:rsidRDefault="00385F6A">
            <w:pPr>
              <w:jc w:val="center"/>
              <w:rPr>
                <w:rFonts w:eastAsia="宋体"/>
                <w:lang w:eastAsia="zh-CN"/>
              </w:rPr>
            </w:pPr>
            <w:r>
              <w:rPr>
                <w:rFonts w:eastAsia="宋体" w:hint="eastAsia"/>
                <w:lang w:eastAsia="zh-CN"/>
              </w:rPr>
              <w:t>SNPN cell</w:t>
            </w:r>
          </w:p>
        </w:tc>
        <w:tc>
          <w:tcPr>
            <w:tcW w:w="2388" w:type="dxa"/>
          </w:tcPr>
          <w:p w:rsidR="00183421" w:rsidRDefault="00385F6A">
            <w:pPr>
              <w:jc w:val="center"/>
              <w:rPr>
                <w:rFonts w:eastAsia="宋体"/>
                <w:lang w:eastAsia="zh-CN"/>
              </w:rPr>
            </w:pPr>
            <w:r>
              <w:rPr>
                <w:rFonts w:eastAsia="宋体" w:hint="eastAsia"/>
                <w:lang w:eastAsia="zh-CN"/>
              </w:rPr>
              <w:t>Cell shared by SNPN and PLMN</w:t>
            </w:r>
          </w:p>
        </w:tc>
      </w:tr>
      <w:tr w:rsidR="00183421">
        <w:tc>
          <w:tcPr>
            <w:tcW w:w="3420" w:type="dxa"/>
          </w:tcPr>
          <w:p w:rsidR="00183421" w:rsidRDefault="00385F6A">
            <w:pPr>
              <w:rPr>
                <w:rFonts w:eastAsia="宋体"/>
                <w:lang w:eastAsia="zh-CN"/>
              </w:rPr>
            </w:pPr>
            <w:r>
              <w:rPr>
                <w:rFonts w:eastAsia="宋体" w:hint="eastAsia"/>
                <w:lang w:eastAsia="zh-CN"/>
              </w:rPr>
              <w:t>UE operating in SNPN access mode</w:t>
            </w:r>
          </w:p>
        </w:tc>
        <w:tc>
          <w:tcPr>
            <w:tcW w:w="1516" w:type="dxa"/>
          </w:tcPr>
          <w:p w:rsidR="00183421" w:rsidRDefault="00385F6A">
            <w:pPr>
              <w:jc w:val="center"/>
              <w:rPr>
                <w:rFonts w:eastAsia="宋体"/>
                <w:lang w:eastAsia="zh-CN"/>
              </w:rPr>
            </w:pPr>
            <w:r>
              <w:rPr>
                <w:rFonts w:eastAsia="宋体" w:hint="eastAsia"/>
                <w:lang w:eastAsia="zh-CN"/>
              </w:rPr>
              <w:t>Not allowed</w:t>
            </w:r>
          </w:p>
        </w:tc>
        <w:tc>
          <w:tcPr>
            <w:tcW w:w="1934" w:type="dxa"/>
          </w:tcPr>
          <w:p w:rsidR="00183421" w:rsidRDefault="00385F6A">
            <w:pPr>
              <w:jc w:val="center"/>
            </w:pPr>
            <w:r>
              <w:rPr>
                <w:rFonts w:eastAsia="宋体" w:hint="eastAsia"/>
                <w:lang w:eastAsia="zh-CN"/>
              </w:rPr>
              <w:t xml:space="preserve"> Allowed if it</w:t>
            </w:r>
            <w:r>
              <w:rPr>
                <w:rFonts w:eastAsia="宋体"/>
                <w:lang w:eastAsia="zh-CN"/>
              </w:rPr>
              <w:t>’</w:t>
            </w:r>
            <w:r>
              <w:rPr>
                <w:rFonts w:eastAsia="宋体" w:hint="eastAsia"/>
                <w:lang w:eastAsia="zh-CN"/>
              </w:rPr>
              <w:t xml:space="preserve">s </w:t>
            </w:r>
            <w:r>
              <w:rPr>
                <w:rFonts w:eastAsia="宋体" w:hint="eastAsia"/>
                <w:sz w:val="22"/>
                <w:szCs w:val="36"/>
                <w:lang w:eastAsia="zh-CN"/>
              </w:rPr>
              <w:t>authorized SNPN</w:t>
            </w:r>
          </w:p>
        </w:tc>
        <w:tc>
          <w:tcPr>
            <w:tcW w:w="2388" w:type="dxa"/>
          </w:tcPr>
          <w:p w:rsidR="00183421" w:rsidRDefault="00385F6A">
            <w:pPr>
              <w:jc w:val="center"/>
              <w:rPr>
                <w:rFonts w:eastAsia="宋体"/>
                <w:lang w:eastAsia="zh-CN"/>
              </w:rPr>
            </w:pPr>
            <w:r>
              <w:rPr>
                <w:rFonts w:eastAsia="宋体" w:hint="eastAsia"/>
                <w:lang w:eastAsia="zh-CN"/>
              </w:rPr>
              <w:t xml:space="preserve"> Allowed if it</w:t>
            </w:r>
            <w:r>
              <w:rPr>
                <w:rFonts w:eastAsia="宋体"/>
                <w:lang w:eastAsia="zh-CN"/>
              </w:rPr>
              <w:t>’</w:t>
            </w:r>
            <w:r>
              <w:rPr>
                <w:rFonts w:eastAsia="宋体" w:hint="eastAsia"/>
                <w:lang w:eastAsia="zh-CN"/>
              </w:rPr>
              <w:t xml:space="preserve">s </w:t>
            </w:r>
            <w:r>
              <w:rPr>
                <w:rFonts w:eastAsia="宋体" w:hint="eastAsia"/>
                <w:sz w:val="22"/>
                <w:szCs w:val="36"/>
                <w:lang w:eastAsia="zh-CN"/>
              </w:rPr>
              <w:t>authorized SNPN</w:t>
            </w:r>
          </w:p>
        </w:tc>
      </w:tr>
      <w:tr w:rsidR="00183421">
        <w:tc>
          <w:tcPr>
            <w:tcW w:w="3420" w:type="dxa"/>
          </w:tcPr>
          <w:p w:rsidR="00183421" w:rsidRDefault="00385F6A">
            <w:pPr>
              <w:rPr>
                <w:rFonts w:eastAsia="宋体"/>
                <w:lang w:eastAsia="zh-CN"/>
              </w:rPr>
            </w:pPr>
            <w:r>
              <w:rPr>
                <w:rFonts w:eastAsia="宋体" w:hint="eastAsia"/>
                <w:lang w:eastAsia="zh-CN"/>
              </w:rPr>
              <w:t xml:space="preserve">SNPN enabled UE </w:t>
            </w:r>
            <w:r>
              <w:t>not operating in SNPN access mode</w:t>
            </w:r>
          </w:p>
        </w:tc>
        <w:tc>
          <w:tcPr>
            <w:tcW w:w="1516" w:type="dxa"/>
          </w:tcPr>
          <w:p w:rsidR="00183421" w:rsidRDefault="00385F6A">
            <w:pPr>
              <w:jc w:val="center"/>
              <w:rPr>
                <w:rFonts w:eastAsia="宋体"/>
                <w:lang w:eastAsia="zh-CN"/>
              </w:rPr>
            </w:pPr>
            <w:r>
              <w:rPr>
                <w:rFonts w:eastAsia="宋体" w:hint="eastAsia"/>
                <w:lang w:eastAsia="zh-CN"/>
              </w:rPr>
              <w:t>Allowed</w:t>
            </w:r>
          </w:p>
        </w:tc>
        <w:tc>
          <w:tcPr>
            <w:tcW w:w="1934" w:type="dxa"/>
          </w:tcPr>
          <w:p w:rsidR="00183421" w:rsidRDefault="00385F6A">
            <w:pPr>
              <w:jc w:val="center"/>
            </w:pPr>
            <w:r>
              <w:rPr>
                <w:rFonts w:eastAsia="宋体" w:hint="eastAsia"/>
                <w:lang w:eastAsia="zh-CN"/>
              </w:rPr>
              <w:t>Not allowed</w:t>
            </w:r>
          </w:p>
        </w:tc>
        <w:tc>
          <w:tcPr>
            <w:tcW w:w="2388" w:type="dxa"/>
          </w:tcPr>
          <w:p w:rsidR="00183421" w:rsidRDefault="00385F6A">
            <w:pPr>
              <w:jc w:val="center"/>
            </w:pPr>
            <w:r>
              <w:rPr>
                <w:rFonts w:eastAsia="宋体" w:hint="eastAsia"/>
                <w:lang w:eastAsia="zh-CN"/>
              </w:rPr>
              <w:t>Allowed</w:t>
            </w:r>
          </w:p>
        </w:tc>
      </w:tr>
      <w:tr w:rsidR="00183421">
        <w:tc>
          <w:tcPr>
            <w:tcW w:w="3420" w:type="dxa"/>
          </w:tcPr>
          <w:p w:rsidR="00183421" w:rsidRDefault="00385F6A">
            <w:pPr>
              <w:rPr>
                <w:rFonts w:eastAsia="宋体"/>
                <w:lang w:eastAsia="zh-CN"/>
              </w:rPr>
            </w:pPr>
            <w:r>
              <w:rPr>
                <w:rFonts w:eastAsia="宋体" w:hint="eastAsia"/>
                <w:lang w:eastAsia="zh-CN"/>
              </w:rPr>
              <w:t>legacy UE</w:t>
            </w:r>
          </w:p>
        </w:tc>
        <w:tc>
          <w:tcPr>
            <w:tcW w:w="1516" w:type="dxa"/>
          </w:tcPr>
          <w:p w:rsidR="00183421" w:rsidRDefault="00385F6A">
            <w:pPr>
              <w:jc w:val="center"/>
            </w:pPr>
            <w:r>
              <w:rPr>
                <w:rFonts w:eastAsia="宋体" w:hint="eastAsia"/>
                <w:lang w:eastAsia="zh-CN"/>
              </w:rPr>
              <w:t>Allowed</w:t>
            </w:r>
          </w:p>
        </w:tc>
        <w:tc>
          <w:tcPr>
            <w:tcW w:w="1934" w:type="dxa"/>
          </w:tcPr>
          <w:p w:rsidR="00183421" w:rsidRDefault="00385F6A">
            <w:pPr>
              <w:jc w:val="center"/>
            </w:pPr>
            <w:r>
              <w:rPr>
                <w:rFonts w:eastAsia="宋体" w:hint="eastAsia"/>
                <w:lang w:eastAsia="zh-CN"/>
              </w:rPr>
              <w:t>Not allowed</w:t>
            </w:r>
          </w:p>
        </w:tc>
        <w:tc>
          <w:tcPr>
            <w:tcW w:w="2388" w:type="dxa"/>
          </w:tcPr>
          <w:p w:rsidR="00183421" w:rsidRDefault="00385F6A">
            <w:pPr>
              <w:jc w:val="center"/>
            </w:pPr>
            <w:r>
              <w:rPr>
                <w:rFonts w:eastAsia="宋体" w:hint="eastAsia"/>
                <w:lang w:eastAsia="zh-CN"/>
              </w:rPr>
              <w:t>Allowed</w:t>
            </w:r>
          </w:p>
        </w:tc>
      </w:tr>
    </w:tbl>
    <w:p w:rsidR="00183421" w:rsidRDefault="00183421">
      <w:pPr>
        <w:rPr>
          <w:rFonts w:eastAsia="宋体"/>
          <w:sz w:val="21"/>
          <w:szCs w:val="28"/>
          <w:lang w:eastAsia="zh-CN"/>
        </w:rPr>
      </w:pPr>
    </w:p>
    <w:p w:rsidR="00183421" w:rsidRDefault="00385F6A">
      <w:pPr>
        <w:rPr>
          <w:sz w:val="21"/>
          <w:szCs w:val="28"/>
        </w:rPr>
      </w:pPr>
      <w:r>
        <w:rPr>
          <w:rFonts w:eastAsia="宋体" w:hint="eastAsia"/>
          <w:sz w:val="21"/>
          <w:szCs w:val="28"/>
          <w:lang w:eastAsia="zh-CN"/>
        </w:rPr>
        <w:t>According to the TS 23.501, except the identifying information for SNNP (i.e. the combination of PLMN ID and NID), NG-RAN</w:t>
      </w:r>
      <w:r>
        <w:rPr>
          <w:sz w:val="21"/>
          <w:szCs w:val="28"/>
        </w:rPr>
        <w:t xml:space="preserve"> nodes which provide access to SNPNs broadcast the following information:</w:t>
      </w:r>
    </w:p>
    <w:p w:rsidR="00183421" w:rsidRDefault="00385F6A">
      <w:pPr>
        <w:ind w:firstLine="720"/>
        <w:jc w:val="both"/>
        <w:rPr>
          <w:rFonts w:eastAsia="宋体"/>
          <w:sz w:val="21"/>
          <w:szCs w:val="21"/>
          <w:lang w:eastAsia="zh-CN"/>
        </w:rPr>
      </w:pPr>
      <w:r>
        <w:rPr>
          <w:rFonts w:eastAsia="宋体" w:hint="eastAsia"/>
          <w:sz w:val="21"/>
          <w:szCs w:val="21"/>
          <w:lang w:eastAsia="zh-CN"/>
        </w:rPr>
        <w:t xml:space="preserve">-     </w:t>
      </w:r>
      <w:r>
        <w:rPr>
          <w:sz w:val="21"/>
          <w:szCs w:val="21"/>
        </w:rPr>
        <w:t>Optionally information, as described in TS 38.331 [28] and in TS 38.304 [50], to prevent UEs not supporting SNPNs from accessing the cell, e.g. in case the cell only provides access to non-public networks.</w:t>
      </w:r>
    </w:p>
    <w:p w:rsidR="00183421" w:rsidRDefault="00385F6A">
      <w:pPr>
        <w:jc w:val="both"/>
        <w:rPr>
          <w:rFonts w:eastAsia="宋体"/>
          <w:sz w:val="22"/>
          <w:szCs w:val="32"/>
          <w:lang w:eastAsia="zh-CN"/>
        </w:rPr>
      </w:pPr>
      <w:r>
        <w:rPr>
          <w:rFonts w:eastAsia="宋体" w:hint="eastAsia"/>
          <w:sz w:val="22"/>
          <w:szCs w:val="32"/>
          <w:lang w:eastAsia="zh-CN"/>
        </w:rPr>
        <w:t xml:space="preserve">In NR, cell access control information is carried in SIB1, thus it is reasonable to reuse this design principle under SNPN deployment case. During SA2 discussion, the </w:t>
      </w:r>
      <w:r>
        <w:rPr>
          <w:rFonts w:eastAsia="宋体" w:hint="eastAsia"/>
          <w:i/>
          <w:iCs/>
          <w:sz w:val="22"/>
          <w:szCs w:val="32"/>
          <w:lang w:val="en-GB" w:eastAsia="en-GB"/>
        </w:rPr>
        <w:t>cellReservedForOtherUse</w:t>
      </w:r>
      <w:r>
        <w:rPr>
          <w:rFonts w:eastAsia="宋体" w:hint="eastAsia"/>
          <w:sz w:val="22"/>
          <w:szCs w:val="32"/>
          <w:lang w:eastAsia="zh-CN"/>
        </w:rPr>
        <w:t xml:space="preserve"> field is suggested to prevent UE not supporting SNPN from automatically accessing a cell only providing accessing to SNPN. From the view of RAN2, this is a feasible solution. As UE operating in SNPN access mode anyway shall check whether a cell provide SNPN identifier (combination of a PLMN ID and a list of NID), a new introduced access control indication will not bring much gain. For a cell only providing access to SNPN, the </w:t>
      </w:r>
      <w:r>
        <w:rPr>
          <w:rFonts w:eastAsia="宋体" w:hint="eastAsia"/>
          <w:i/>
          <w:iCs/>
          <w:sz w:val="22"/>
          <w:szCs w:val="32"/>
          <w:lang w:val="en-GB" w:eastAsia="en-GB"/>
        </w:rPr>
        <w:t>cellReservedForOtherUse</w:t>
      </w:r>
      <w:r>
        <w:rPr>
          <w:rFonts w:eastAsia="宋体" w:hint="eastAsia"/>
          <w:i/>
          <w:iCs/>
          <w:sz w:val="22"/>
          <w:szCs w:val="32"/>
          <w:lang w:eastAsia="zh-CN"/>
        </w:rPr>
        <w:t xml:space="preserve"> </w:t>
      </w:r>
      <w:r>
        <w:rPr>
          <w:rFonts w:eastAsia="宋体" w:hint="eastAsia"/>
          <w:sz w:val="22"/>
          <w:szCs w:val="32"/>
          <w:lang w:eastAsia="zh-CN"/>
        </w:rPr>
        <w:t>field</w:t>
      </w:r>
      <w:r>
        <w:rPr>
          <w:rFonts w:eastAsia="宋体" w:hint="eastAsia"/>
          <w:i/>
          <w:iCs/>
          <w:sz w:val="22"/>
          <w:szCs w:val="32"/>
          <w:lang w:eastAsia="zh-CN"/>
        </w:rPr>
        <w:t xml:space="preserve"> </w:t>
      </w:r>
      <w:r>
        <w:rPr>
          <w:rFonts w:eastAsia="宋体" w:hint="eastAsia"/>
          <w:sz w:val="22"/>
          <w:szCs w:val="32"/>
          <w:lang w:eastAsia="zh-CN"/>
        </w:rPr>
        <w:t xml:space="preserve">will be carried in SIB1. For legacy UE and SNPN enabled UE not operating in SNPN access mode, UE will consider this cell is barred. For a cell not providing SNPN identifier, UE operating in SNPN access mode will consider this cell is barred if </w:t>
      </w:r>
      <w:r>
        <w:rPr>
          <w:rFonts w:hint="eastAsia"/>
          <w:bCs/>
          <w:i/>
          <w:iCs/>
          <w:sz w:val="22"/>
          <w:szCs w:val="22"/>
          <w:lang w:val="en-GB" w:eastAsia="en-GB"/>
        </w:rPr>
        <w:t>cellReservedForOtherUse</w:t>
      </w:r>
      <w:r>
        <w:rPr>
          <w:rFonts w:hint="eastAsia"/>
          <w:bCs/>
          <w:sz w:val="22"/>
          <w:szCs w:val="22"/>
          <w:lang w:eastAsia="zh-CN"/>
        </w:rPr>
        <w:t xml:space="preserve"> indication is received.</w:t>
      </w:r>
    </w:p>
    <w:p w:rsidR="00130EB9" w:rsidRDefault="00385F6A">
      <w:pPr>
        <w:jc w:val="both"/>
        <w:rPr>
          <w:b/>
          <w:sz w:val="22"/>
          <w:szCs w:val="22"/>
          <w:lang w:eastAsia="zh-CN"/>
        </w:rPr>
      </w:pPr>
      <w:r>
        <w:rPr>
          <w:rFonts w:hint="eastAsia"/>
          <w:b/>
          <w:sz w:val="22"/>
          <w:szCs w:val="22"/>
          <w:lang w:eastAsia="zh-CN"/>
        </w:rPr>
        <w:t xml:space="preserve">Proposal 1: </w:t>
      </w:r>
      <w:r w:rsidR="00130EB9">
        <w:rPr>
          <w:b/>
          <w:sz w:val="22"/>
          <w:szCs w:val="22"/>
          <w:lang w:eastAsia="zh-CN"/>
        </w:rPr>
        <w:t xml:space="preserve">The </w:t>
      </w:r>
      <w:r w:rsidR="00130EB9">
        <w:rPr>
          <w:rFonts w:hint="eastAsia"/>
          <w:b/>
          <w:i/>
          <w:iCs/>
          <w:sz w:val="22"/>
          <w:szCs w:val="22"/>
          <w:lang w:val="en-GB" w:eastAsia="en-GB"/>
        </w:rPr>
        <w:t>cellReservedForOtherUse</w:t>
      </w:r>
      <w:r w:rsidR="00130EB9">
        <w:rPr>
          <w:rFonts w:hint="eastAsia"/>
          <w:b/>
          <w:sz w:val="22"/>
          <w:szCs w:val="22"/>
          <w:lang w:eastAsia="zh-CN"/>
        </w:rPr>
        <w:t xml:space="preserve"> </w:t>
      </w:r>
      <w:r w:rsidR="00807E88">
        <w:rPr>
          <w:b/>
          <w:sz w:val="22"/>
          <w:szCs w:val="22"/>
          <w:lang w:eastAsia="zh-CN"/>
        </w:rPr>
        <w:t>is set to t</w:t>
      </w:r>
      <w:r w:rsidR="003538FB">
        <w:rPr>
          <w:b/>
          <w:sz w:val="22"/>
          <w:szCs w:val="22"/>
          <w:lang w:eastAsia="zh-CN"/>
        </w:rPr>
        <w:t>ru</w:t>
      </w:r>
      <w:r w:rsidR="00807E88">
        <w:rPr>
          <w:b/>
          <w:sz w:val="22"/>
          <w:szCs w:val="22"/>
          <w:lang w:eastAsia="zh-CN"/>
        </w:rPr>
        <w:t>e</w:t>
      </w:r>
      <w:r w:rsidR="00130EB9">
        <w:rPr>
          <w:b/>
          <w:sz w:val="22"/>
          <w:szCs w:val="22"/>
          <w:lang w:eastAsia="zh-CN"/>
        </w:rPr>
        <w:t xml:space="preserve"> by a c</w:t>
      </w:r>
      <w:r w:rsidR="008C4322">
        <w:rPr>
          <w:b/>
          <w:sz w:val="22"/>
          <w:szCs w:val="22"/>
          <w:lang w:eastAsia="zh-CN"/>
        </w:rPr>
        <w:t>ell only providing SNPN access.</w:t>
      </w:r>
    </w:p>
    <w:p w:rsidR="00183421" w:rsidRDefault="00130EB9">
      <w:pPr>
        <w:jc w:val="both"/>
        <w:rPr>
          <w:b/>
          <w:sz w:val="22"/>
          <w:szCs w:val="22"/>
          <w:lang w:eastAsia="zh-CN"/>
        </w:rPr>
      </w:pPr>
      <w:r>
        <w:rPr>
          <w:rFonts w:hint="eastAsia"/>
          <w:b/>
          <w:sz w:val="22"/>
          <w:szCs w:val="22"/>
          <w:lang w:eastAsia="zh-CN"/>
        </w:rPr>
        <w:t xml:space="preserve">Proposal </w:t>
      </w:r>
      <w:r>
        <w:rPr>
          <w:b/>
          <w:sz w:val="22"/>
          <w:szCs w:val="22"/>
          <w:lang w:eastAsia="zh-CN"/>
        </w:rPr>
        <w:t>2</w:t>
      </w:r>
      <w:r>
        <w:rPr>
          <w:rFonts w:hint="eastAsia"/>
          <w:b/>
          <w:sz w:val="22"/>
          <w:szCs w:val="22"/>
          <w:lang w:eastAsia="zh-CN"/>
        </w:rPr>
        <w:t xml:space="preserve">: </w:t>
      </w:r>
      <w:r w:rsidR="00807E88">
        <w:rPr>
          <w:b/>
          <w:sz w:val="22"/>
          <w:szCs w:val="22"/>
          <w:lang w:eastAsia="zh-CN"/>
        </w:rPr>
        <w:t xml:space="preserve">An SNPN enabled </w:t>
      </w:r>
      <w:r w:rsidR="00385F6A">
        <w:rPr>
          <w:rFonts w:hint="eastAsia"/>
          <w:b/>
          <w:sz w:val="22"/>
          <w:szCs w:val="22"/>
          <w:lang w:eastAsia="zh-CN"/>
        </w:rPr>
        <w:t xml:space="preserve">UE </w:t>
      </w:r>
      <w:r w:rsidR="008C4322">
        <w:rPr>
          <w:b/>
          <w:sz w:val="22"/>
          <w:szCs w:val="22"/>
          <w:lang w:eastAsia="zh-CN"/>
        </w:rPr>
        <w:t>ignores</w:t>
      </w:r>
      <w:r w:rsidR="00385F6A">
        <w:rPr>
          <w:rFonts w:hint="eastAsia"/>
          <w:b/>
          <w:sz w:val="22"/>
          <w:szCs w:val="22"/>
          <w:lang w:eastAsia="zh-CN"/>
        </w:rPr>
        <w:t xml:space="preserve"> the </w:t>
      </w:r>
      <w:r w:rsidR="00385F6A">
        <w:rPr>
          <w:rFonts w:hint="eastAsia"/>
          <w:b/>
          <w:i/>
          <w:iCs/>
          <w:sz w:val="22"/>
          <w:szCs w:val="22"/>
          <w:lang w:val="en-GB" w:eastAsia="en-GB"/>
        </w:rPr>
        <w:t>cellReservedForOtherUse</w:t>
      </w:r>
      <w:r w:rsidR="00385F6A">
        <w:rPr>
          <w:rFonts w:hint="eastAsia"/>
          <w:b/>
          <w:sz w:val="22"/>
          <w:szCs w:val="22"/>
          <w:lang w:eastAsia="zh-CN"/>
        </w:rPr>
        <w:t xml:space="preserve"> indication </w:t>
      </w:r>
      <w:r w:rsidR="00657A88">
        <w:rPr>
          <w:b/>
          <w:sz w:val="22"/>
          <w:szCs w:val="22"/>
          <w:lang w:eastAsia="zh-CN"/>
        </w:rPr>
        <w:t xml:space="preserve">of a cell providing </w:t>
      </w:r>
      <w:r w:rsidR="00385F6A">
        <w:rPr>
          <w:rFonts w:hint="eastAsia"/>
          <w:b/>
          <w:sz w:val="22"/>
          <w:szCs w:val="22"/>
          <w:lang w:eastAsia="zh-CN"/>
        </w:rPr>
        <w:t>SNPN identifier(s)</w:t>
      </w:r>
      <w:r w:rsidR="005D6971">
        <w:rPr>
          <w:b/>
          <w:sz w:val="22"/>
          <w:szCs w:val="22"/>
          <w:lang w:eastAsia="zh-CN"/>
        </w:rPr>
        <w:t xml:space="preserve"> when the UE operate</w:t>
      </w:r>
      <w:r w:rsidR="00807E88">
        <w:rPr>
          <w:b/>
          <w:sz w:val="22"/>
          <w:szCs w:val="22"/>
          <w:lang w:eastAsia="zh-CN"/>
        </w:rPr>
        <w:t>s</w:t>
      </w:r>
      <w:r w:rsidR="005D6971">
        <w:rPr>
          <w:b/>
          <w:sz w:val="22"/>
          <w:szCs w:val="22"/>
          <w:lang w:eastAsia="zh-CN"/>
        </w:rPr>
        <w:t xml:space="preserve"> in SNPN access mode</w:t>
      </w:r>
      <w:r w:rsidR="00385F6A">
        <w:rPr>
          <w:rFonts w:hint="eastAsia"/>
          <w:b/>
          <w:sz w:val="22"/>
          <w:szCs w:val="22"/>
          <w:lang w:eastAsia="zh-CN"/>
        </w:rPr>
        <w:t>.</w:t>
      </w:r>
    </w:p>
    <w:p w:rsidR="00183421" w:rsidRDefault="00385F6A">
      <w:pPr>
        <w:pStyle w:val="20"/>
        <w:numPr>
          <w:ilvl w:val="1"/>
          <w:numId w:val="9"/>
        </w:numPr>
        <w:tabs>
          <w:tab w:val="clear" w:pos="567"/>
        </w:tabs>
        <w:rPr>
          <w:rFonts w:ascii="Times New Roman" w:hAnsi="Times New Roman" w:cs="Times New Roman"/>
          <w:sz w:val="24"/>
          <w:szCs w:val="40"/>
        </w:rPr>
      </w:pPr>
      <w:r>
        <w:rPr>
          <w:rFonts w:ascii="Times New Roman" w:eastAsia="宋体" w:hAnsi="Times New Roman" w:cs="Times New Roman"/>
          <w:sz w:val="24"/>
          <w:szCs w:val="40"/>
        </w:rPr>
        <w:t xml:space="preserve"> Public network integrated NPN</w:t>
      </w:r>
    </w:p>
    <w:p w:rsidR="00183421" w:rsidRDefault="00385F6A">
      <w:pPr>
        <w:jc w:val="both"/>
        <w:rPr>
          <w:rFonts w:eastAsia="宋体"/>
          <w:sz w:val="22"/>
          <w:szCs w:val="32"/>
          <w:lang w:eastAsia="zh-CN"/>
        </w:rPr>
      </w:pPr>
      <w:r>
        <w:rPr>
          <w:sz w:val="22"/>
          <w:szCs w:val="32"/>
        </w:rPr>
        <w:t>A Closed Access Group identifies a group of subscribers who are permitted to access one or more CAG cells associated to the CAG.</w:t>
      </w:r>
      <w:r>
        <w:rPr>
          <w:rFonts w:eastAsia="宋体" w:hint="eastAsia"/>
          <w:sz w:val="22"/>
          <w:szCs w:val="32"/>
          <w:lang w:eastAsia="zh-CN"/>
        </w:rPr>
        <w:t xml:space="preserve"> For a CAG enabled UE, </w:t>
      </w:r>
      <w:r>
        <w:rPr>
          <w:sz w:val="22"/>
          <w:szCs w:val="32"/>
        </w:rPr>
        <w:t>an Allowed CAG list</w:t>
      </w:r>
      <w:r>
        <w:rPr>
          <w:rFonts w:hint="eastAsia"/>
          <w:sz w:val="22"/>
          <w:szCs w:val="32"/>
          <w:lang w:eastAsia="zh-CN"/>
        </w:rPr>
        <w:t xml:space="preserve"> and an optionally </w:t>
      </w:r>
      <w:r>
        <w:rPr>
          <w:sz w:val="22"/>
          <w:szCs w:val="32"/>
          <w:lang w:val="en-GB"/>
        </w:rPr>
        <w:t xml:space="preserve">CAG-only </w:t>
      </w:r>
      <w:r>
        <w:rPr>
          <w:sz w:val="22"/>
          <w:szCs w:val="32"/>
        </w:rPr>
        <w:t>indication</w:t>
      </w:r>
      <w:r>
        <w:rPr>
          <w:rFonts w:hint="eastAsia"/>
          <w:sz w:val="22"/>
          <w:szCs w:val="32"/>
          <w:lang w:eastAsia="zh-CN"/>
        </w:rPr>
        <w:t xml:space="preserve"> will be configured. A </w:t>
      </w:r>
      <w:r>
        <w:rPr>
          <w:rFonts w:eastAsia="宋体" w:hint="eastAsia"/>
          <w:sz w:val="22"/>
          <w:szCs w:val="32"/>
          <w:lang w:eastAsia="zh-CN"/>
        </w:rPr>
        <w:t>CAG enabled UE will have different behaviors depending on whether the Allowed CAG list is empty or not and whether the CAG-only indication is received.</w:t>
      </w:r>
    </w:p>
    <w:p w:rsidR="00183421" w:rsidRDefault="00385F6A">
      <w:pPr>
        <w:pStyle w:val="a7"/>
        <w:rPr>
          <w:sz w:val="22"/>
          <w:szCs w:val="22"/>
          <w:lang w:eastAsia="zh-CN"/>
        </w:rPr>
      </w:pPr>
      <w:r>
        <w:rPr>
          <w:rFonts w:eastAsia="宋体" w:hint="eastAsia"/>
          <w:sz w:val="22"/>
          <w:szCs w:val="22"/>
          <w:lang w:eastAsia="zh-CN"/>
        </w:rPr>
        <w:t xml:space="preserve">The following table summarizes that for </w:t>
      </w:r>
      <w:r>
        <w:rPr>
          <w:rFonts w:eastAsia="宋体"/>
          <w:sz w:val="22"/>
          <w:szCs w:val="22"/>
          <w:lang w:eastAsia="zh-CN"/>
        </w:rPr>
        <w:t>Public network integrated NPN</w:t>
      </w:r>
      <w:r>
        <w:rPr>
          <w:rFonts w:eastAsia="宋体" w:hint="eastAsia"/>
          <w:sz w:val="22"/>
          <w:szCs w:val="22"/>
          <w:lang w:eastAsia="zh-CN"/>
        </w:rPr>
        <w:t xml:space="preserve"> deployment scenario whether UE is allowed to access a cell or not under different case.</w:t>
      </w:r>
    </w:p>
    <w:p w:rsidR="00183421" w:rsidRDefault="00385F6A">
      <w:pPr>
        <w:pStyle w:val="a7"/>
        <w:jc w:val="center"/>
        <w:rPr>
          <w:sz w:val="21"/>
          <w:lang w:eastAsia="zh-CN"/>
        </w:rPr>
      </w:pPr>
      <w:r>
        <w:rPr>
          <w:rFonts w:eastAsia="宋体" w:hint="eastAsia"/>
          <w:sz w:val="21"/>
          <w:szCs w:val="28"/>
          <w:lang w:eastAsia="zh-CN"/>
        </w:rPr>
        <w:t>Table 2 UE behavior under different type of cell</w:t>
      </w:r>
    </w:p>
    <w:tbl>
      <w:tblPr>
        <w:tblStyle w:val="ae"/>
        <w:tblW w:w="9333" w:type="dxa"/>
        <w:tblLayout w:type="fixed"/>
        <w:tblLook w:val="04A0" w:firstRow="1" w:lastRow="0" w:firstColumn="1" w:lastColumn="0" w:noHBand="0" w:noVBand="1"/>
      </w:tblPr>
      <w:tblGrid>
        <w:gridCol w:w="3491"/>
        <w:gridCol w:w="1998"/>
        <w:gridCol w:w="3844"/>
      </w:tblGrid>
      <w:tr w:rsidR="00183421">
        <w:tc>
          <w:tcPr>
            <w:tcW w:w="3491" w:type="dxa"/>
          </w:tcPr>
          <w:p w:rsidR="00183421" w:rsidRDefault="00183421">
            <w:pPr>
              <w:rPr>
                <w:rFonts w:eastAsia="宋体"/>
                <w:lang w:eastAsia="zh-CN"/>
              </w:rPr>
            </w:pPr>
          </w:p>
        </w:tc>
        <w:tc>
          <w:tcPr>
            <w:tcW w:w="1998" w:type="dxa"/>
          </w:tcPr>
          <w:p w:rsidR="00183421" w:rsidRDefault="00385F6A">
            <w:pPr>
              <w:jc w:val="center"/>
              <w:rPr>
                <w:rFonts w:eastAsia="宋体"/>
                <w:lang w:eastAsia="zh-CN"/>
              </w:rPr>
            </w:pPr>
            <w:r>
              <w:rPr>
                <w:rFonts w:eastAsia="宋体" w:hint="eastAsia"/>
                <w:lang w:eastAsia="zh-CN"/>
              </w:rPr>
              <w:t>Legacy cell</w:t>
            </w:r>
          </w:p>
        </w:tc>
        <w:tc>
          <w:tcPr>
            <w:tcW w:w="3844" w:type="dxa"/>
          </w:tcPr>
          <w:p w:rsidR="00183421" w:rsidRDefault="00385F6A">
            <w:pPr>
              <w:jc w:val="center"/>
              <w:rPr>
                <w:rFonts w:eastAsia="宋体"/>
                <w:lang w:eastAsia="zh-CN"/>
              </w:rPr>
            </w:pPr>
            <w:r>
              <w:rPr>
                <w:rFonts w:eastAsia="宋体" w:hint="eastAsia"/>
                <w:lang w:eastAsia="zh-CN"/>
              </w:rPr>
              <w:t>CAG cell</w:t>
            </w:r>
          </w:p>
        </w:tc>
      </w:tr>
      <w:tr w:rsidR="00183421">
        <w:tc>
          <w:tcPr>
            <w:tcW w:w="3491" w:type="dxa"/>
          </w:tcPr>
          <w:p w:rsidR="00183421" w:rsidRDefault="00385F6A">
            <w:pPr>
              <w:rPr>
                <w:rFonts w:eastAsia="宋体"/>
                <w:lang w:eastAsia="zh-CN"/>
              </w:rPr>
            </w:pPr>
            <w:r>
              <w:rPr>
                <w:rFonts w:eastAsia="宋体" w:hint="eastAsia"/>
                <w:lang w:eastAsia="zh-CN"/>
              </w:rPr>
              <w:t>CAG-only UE</w:t>
            </w:r>
          </w:p>
        </w:tc>
        <w:tc>
          <w:tcPr>
            <w:tcW w:w="1998" w:type="dxa"/>
          </w:tcPr>
          <w:p w:rsidR="00183421" w:rsidRDefault="00385F6A">
            <w:pPr>
              <w:jc w:val="center"/>
              <w:rPr>
                <w:rFonts w:eastAsia="宋体"/>
                <w:lang w:eastAsia="zh-CN"/>
              </w:rPr>
            </w:pPr>
            <w:r>
              <w:rPr>
                <w:rFonts w:eastAsia="宋体" w:hint="eastAsia"/>
                <w:lang w:eastAsia="zh-CN"/>
              </w:rPr>
              <w:t>Not allowed</w:t>
            </w:r>
          </w:p>
        </w:tc>
        <w:tc>
          <w:tcPr>
            <w:tcW w:w="3844" w:type="dxa"/>
          </w:tcPr>
          <w:p w:rsidR="00183421" w:rsidRDefault="00385F6A">
            <w:pPr>
              <w:jc w:val="center"/>
            </w:pPr>
            <w:r>
              <w:rPr>
                <w:rFonts w:eastAsia="宋体" w:hint="eastAsia"/>
                <w:lang w:eastAsia="zh-CN"/>
              </w:rPr>
              <w:t xml:space="preserve"> Allowed if  CAG ID belongs to the Allowed CAG list</w:t>
            </w:r>
          </w:p>
        </w:tc>
      </w:tr>
      <w:tr w:rsidR="00183421">
        <w:tc>
          <w:tcPr>
            <w:tcW w:w="3491" w:type="dxa"/>
          </w:tcPr>
          <w:p w:rsidR="00183421" w:rsidRDefault="00385F6A">
            <w:pPr>
              <w:rPr>
                <w:rFonts w:eastAsia="宋体"/>
                <w:lang w:eastAsia="zh-CN"/>
              </w:rPr>
            </w:pPr>
            <w:r>
              <w:rPr>
                <w:rFonts w:eastAsia="宋体" w:hint="eastAsia"/>
                <w:lang w:eastAsia="zh-CN"/>
              </w:rPr>
              <w:t>CAG UE with non-empty Allowed CAG list and without CAG-only indication</w:t>
            </w:r>
          </w:p>
        </w:tc>
        <w:tc>
          <w:tcPr>
            <w:tcW w:w="1998" w:type="dxa"/>
          </w:tcPr>
          <w:p w:rsidR="00183421" w:rsidRDefault="00385F6A">
            <w:pPr>
              <w:jc w:val="center"/>
              <w:rPr>
                <w:rFonts w:eastAsia="宋体"/>
                <w:lang w:eastAsia="zh-CN"/>
              </w:rPr>
            </w:pPr>
            <w:r>
              <w:rPr>
                <w:rFonts w:eastAsia="宋体" w:hint="eastAsia"/>
                <w:lang w:eastAsia="zh-CN"/>
              </w:rPr>
              <w:t>Allowed</w:t>
            </w:r>
          </w:p>
        </w:tc>
        <w:tc>
          <w:tcPr>
            <w:tcW w:w="3844" w:type="dxa"/>
          </w:tcPr>
          <w:p w:rsidR="00183421" w:rsidRDefault="00385F6A">
            <w:pPr>
              <w:jc w:val="center"/>
            </w:pPr>
            <w:r>
              <w:rPr>
                <w:rFonts w:eastAsia="宋体" w:hint="eastAsia"/>
                <w:lang w:eastAsia="zh-CN"/>
              </w:rPr>
              <w:t>Allowed if CAG ID belongs to the Allowed CAG list</w:t>
            </w:r>
          </w:p>
        </w:tc>
      </w:tr>
      <w:tr w:rsidR="00183421">
        <w:tc>
          <w:tcPr>
            <w:tcW w:w="3491" w:type="dxa"/>
          </w:tcPr>
          <w:p w:rsidR="00183421" w:rsidRDefault="00385F6A">
            <w:pPr>
              <w:rPr>
                <w:rFonts w:eastAsia="宋体"/>
                <w:lang w:eastAsia="zh-CN"/>
              </w:rPr>
            </w:pPr>
            <w:r>
              <w:rPr>
                <w:rFonts w:eastAsia="宋体" w:hint="eastAsia"/>
                <w:lang w:eastAsia="zh-CN"/>
              </w:rPr>
              <w:t>CAG UE without non-empty Allowed CAG list</w:t>
            </w:r>
          </w:p>
        </w:tc>
        <w:tc>
          <w:tcPr>
            <w:tcW w:w="1998" w:type="dxa"/>
          </w:tcPr>
          <w:p w:rsidR="00183421" w:rsidRDefault="00385F6A">
            <w:pPr>
              <w:jc w:val="center"/>
            </w:pPr>
            <w:r>
              <w:rPr>
                <w:rFonts w:eastAsia="宋体" w:hint="eastAsia"/>
                <w:lang w:eastAsia="zh-CN"/>
              </w:rPr>
              <w:t>Allowed</w:t>
            </w:r>
          </w:p>
        </w:tc>
        <w:tc>
          <w:tcPr>
            <w:tcW w:w="3844" w:type="dxa"/>
          </w:tcPr>
          <w:p w:rsidR="00183421" w:rsidRDefault="00385F6A">
            <w:pPr>
              <w:jc w:val="center"/>
            </w:pPr>
            <w:r>
              <w:rPr>
                <w:rFonts w:eastAsia="宋体" w:hint="eastAsia"/>
                <w:lang w:eastAsia="zh-CN"/>
              </w:rPr>
              <w:t>Not allowed</w:t>
            </w:r>
          </w:p>
        </w:tc>
      </w:tr>
    </w:tbl>
    <w:p w:rsidR="00183421" w:rsidRDefault="00183421">
      <w:pPr>
        <w:pStyle w:val="Observation"/>
        <w:numPr>
          <w:ilvl w:val="0"/>
          <w:numId w:val="0"/>
        </w:numPr>
        <w:jc w:val="both"/>
        <w:rPr>
          <w:b w:val="0"/>
          <w:bCs w:val="0"/>
          <w:sz w:val="21"/>
          <w:lang w:eastAsia="zh-CN"/>
        </w:rPr>
      </w:pPr>
    </w:p>
    <w:p w:rsidR="00183421" w:rsidRDefault="00385F6A">
      <w:pPr>
        <w:rPr>
          <w:sz w:val="22"/>
          <w:szCs w:val="32"/>
        </w:rPr>
      </w:pPr>
      <w:r>
        <w:rPr>
          <w:rFonts w:eastAsia="宋体" w:hint="eastAsia"/>
          <w:sz w:val="21"/>
          <w:szCs w:val="28"/>
          <w:lang w:eastAsia="zh-CN"/>
        </w:rPr>
        <w:t xml:space="preserve">According to the TS 23.501, except the CAG identifier for </w:t>
      </w:r>
      <w:r>
        <w:rPr>
          <w:rFonts w:eastAsia="宋体"/>
          <w:sz w:val="22"/>
          <w:szCs w:val="22"/>
          <w:lang w:eastAsia="zh-CN"/>
        </w:rPr>
        <w:t>Public network integrated NPN</w:t>
      </w:r>
      <w:r>
        <w:rPr>
          <w:rFonts w:eastAsia="宋体" w:hint="eastAsia"/>
          <w:sz w:val="21"/>
          <w:szCs w:val="28"/>
          <w:lang w:eastAsia="zh-CN"/>
        </w:rPr>
        <w:t xml:space="preserve">, </w:t>
      </w:r>
      <w:r>
        <w:rPr>
          <w:sz w:val="22"/>
          <w:szCs w:val="32"/>
        </w:rPr>
        <w:t>The following is assumed for network and cell selection, and access control:</w:t>
      </w:r>
    </w:p>
    <w:p w:rsidR="00183421" w:rsidRDefault="00385F6A">
      <w:pPr>
        <w:pStyle w:val="B1"/>
        <w:rPr>
          <w:sz w:val="21"/>
          <w:lang w:val="en-US" w:eastAsia="zh-CN"/>
        </w:rPr>
      </w:pPr>
      <w:r>
        <w:t>-</w:t>
      </w:r>
      <w:r>
        <w:tab/>
        <w:t>The CAG cell shall broadcast information such that only UEs supporting CAG are accessing the cell (see TS 38.300 [27], TS 38.304 [50]);</w:t>
      </w:r>
    </w:p>
    <w:p w:rsidR="00183421" w:rsidRDefault="00385F6A">
      <w:pPr>
        <w:jc w:val="both"/>
        <w:rPr>
          <w:bCs/>
          <w:sz w:val="22"/>
          <w:szCs w:val="22"/>
          <w:lang w:eastAsia="zh-CN"/>
        </w:rPr>
      </w:pPr>
      <w:r>
        <w:rPr>
          <w:rFonts w:hint="eastAsia"/>
          <w:bCs/>
          <w:sz w:val="22"/>
          <w:szCs w:val="22"/>
          <w:lang w:eastAsia="zh-CN"/>
        </w:rPr>
        <w:t xml:space="preserve">Same reason with SNPN case, </w:t>
      </w:r>
      <w:r>
        <w:rPr>
          <w:rFonts w:eastAsia="宋体" w:hint="eastAsia"/>
          <w:sz w:val="22"/>
          <w:szCs w:val="32"/>
          <w:lang w:eastAsia="zh-CN"/>
        </w:rPr>
        <w:t xml:space="preserve">the </w:t>
      </w:r>
      <w:r>
        <w:rPr>
          <w:rFonts w:eastAsia="宋体" w:hint="eastAsia"/>
          <w:i/>
          <w:iCs/>
          <w:sz w:val="22"/>
          <w:szCs w:val="32"/>
          <w:lang w:val="en-GB" w:eastAsia="en-GB"/>
        </w:rPr>
        <w:t>cellReservedForOtherUse</w:t>
      </w:r>
      <w:r>
        <w:rPr>
          <w:rFonts w:eastAsia="宋体" w:hint="eastAsia"/>
          <w:i/>
          <w:iCs/>
          <w:sz w:val="22"/>
          <w:szCs w:val="32"/>
          <w:lang w:eastAsia="zh-CN"/>
        </w:rPr>
        <w:t xml:space="preserve"> </w:t>
      </w:r>
      <w:r>
        <w:rPr>
          <w:rFonts w:eastAsia="宋体" w:hint="eastAsia"/>
          <w:sz w:val="22"/>
          <w:szCs w:val="32"/>
          <w:lang w:eastAsia="zh-CN"/>
        </w:rPr>
        <w:t xml:space="preserve">field can be used to prevent legacy UE and CAG enabled UE with empty Allowed CAG list from automatically accessing a CAG cell. For legacy UE and CAG enable UE with empty Allowed CAG list, UE will consider this cell is barred. For a cell not providing CAG identifier, CAG enabled UE with non-empty Allowed CAG list will consider this cell is barred if </w:t>
      </w:r>
      <w:r>
        <w:rPr>
          <w:rFonts w:hint="eastAsia"/>
          <w:bCs/>
          <w:i/>
          <w:iCs/>
          <w:sz w:val="22"/>
          <w:szCs w:val="22"/>
          <w:lang w:val="en-GB" w:eastAsia="en-GB"/>
        </w:rPr>
        <w:t>cellReservedForOtherUse</w:t>
      </w:r>
      <w:r>
        <w:rPr>
          <w:rFonts w:hint="eastAsia"/>
          <w:bCs/>
          <w:sz w:val="22"/>
          <w:szCs w:val="22"/>
          <w:lang w:eastAsia="zh-CN"/>
        </w:rPr>
        <w:t xml:space="preserve"> indication is received.</w:t>
      </w:r>
    </w:p>
    <w:p w:rsidR="00414A6D" w:rsidRPr="00414A6D" w:rsidRDefault="00414A6D">
      <w:pPr>
        <w:jc w:val="both"/>
        <w:rPr>
          <w:rFonts w:eastAsiaTheme="minorEastAsia"/>
          <w:b/>
          <w:sz w:val="22"/>
          <w:szCs w:val="22"/>
          <w:lang w:eastAsia="zh-CN"/>
        </w:rPr>
      </w:pPr>
      <w:r>
        <w:rPr>
          <w:rFonts w:hint="eastAsia"/>
          <w:b/>
          <w:sz w:val="22"/>
          <w:szCs w:val="22"/>
          <w:lang w:eastAsia="zh-CN"/>
        </w:rPr>
        <w:t xml:space="preserve">Proposal </w:t>
      </w:r>
      <w:r>
        <w:rPr>
          <w:b/>
          <w:sz w:val="22"/>
          <w:szCs w:val="22"/>
          <w:lang w:eastAsia="zh-CN"/>
        </w:rPr>
        <w:t>3</w:t>
      </w:r>
      <w:r>
        <w:rPr>
          <w:rFonts w:hint="eastAsia"/>
          <w:b/>
          <w:sz w:val="22"/>
          <w:szCs w:val="22"/>
          <w:lang w:eastAsia="zh-CN"/>
        </w:rPr>
        <w:t xml:space="preserve">: </w:t>
      </w:r>
      <w:r>
        <w:rPr>
          <w:b/>
          <w:sz w:val="22"/>
          <w:szCs w:val="22"/>
          <w:lang w:eastAsia="zh-CN"/>
        </w:rPr>
        <w:t xml:space="preserve">The </w:t>
      </w:r>
      <w:r>
        <w:rPr>
          <w:rFonts w:hint="eastAsia"/>
          <w:b/>
          <w:i/>
          <w:iCs/>
          <w:sz w:val="22"/>
          <w:szCs w:val="22"/>
          <w:lang w:val="en-GB" w:eastAsia="en-GB"/>
        </w:rPr>
        <w:t>cellReservedForOtherUse</w:t>
      </w:r>
      <w:r>
        <w:rPr>
          <w:rFonts w:hint="eastAsia"/>
          <w:b/>
          <w:sz w:val="22"/>
          <w:szCs w:val="22"/>
          <w:lang w:eastAsia="zh-CN"/>
        </w:rPr>
        <w:t xml:space="preserve"> </w:t>
      </w:r>
      <w:r w:rsidR="00321E10">
        <w:rPr>
          <w:b/>
          <w:sz w:val="22"/>
          <w:szCs w:val="22"/>
          <w:lang w:eastAsia="zh-CN"/>
        </w:rPr>
        <w:t>is set to true</w:t>
      </w:r>
      <w:r>
        <w:rPr>
          <w:b/>
          <w:sz w:val="22"/>
          <w:szCs w:val="22"/>
          <w:lang w:eastAsia="zh-CN"/>
        </w:rPr>
        <w:t xml:space="preserve"> by a cell providing CAG access.</w:t>
      </w:r>
    </w:p>
    <w:p w:rsidR="00183421" w:rsidRDefault="00385F6A">
      <w:pPr>
        <w:jc w:val="both"/>
        <w:rPr>
          <w:b/>
          <w:sz w:val="22"/>
          <w:szCs w:val="22"/>
          <w:lang w:eastAsia="zh-CN"/>
        </w:rPr>
      </w:pPr>
      <w:r>
        <w:rPr>
          <w:rFonts w:hint="eastAsia"/>
          <w:b/>
          <w:sz w:val="22"/>
          <w:szCs w:val="22"/>
          <w:lang w:eastAsia="zh-CN"/>
        </w:rPr>
        <w:t xml:space="preserve">Proposal </w:t>
      </w:r>
      <w:r w:rsidR="007F34AF">
        <w:rPr>
          <w:b/>
          <w:sz w:val="22"/>
          <w:szCs w:val="22"/>
          <w:lang w:eastAsia="zh-CN"/>
        </w:rPr>
        <w:t>4</w:t>
      </w:r>
      <w:r>
        <w:rPr>
          <w:rFonts w:hint="eastAsia"/>
          <w:b/>
          <w:sz w:val="22"/>
          <w:szCs w:val="22"/>
          <w:lang w:eastAsia="zh-CN"/>
        </w:rPr>
        <w:t xml:space="preserve">: </w:t>
      </w:r>
      <w:r w:rsidR="003538FB">
        <w:rPr>
          <w:b/>
          <w:sz w:val="22"/>
          <w:szCs w:val="22"/>
          <w:lang w:eastAsia="zh-CN"/>
        </w:rPr>
        <w:t>A</w:t>
      </w:r>
      <w:r w:rsidR="00321E10">
        <w:rPr>
          <w:b/>
          <w:sz w:val="22"/>
          <w:szCs w:val="22"/>
          <w:lang w:eastAsia="zh-CN"/>
        </w:rPr>
        <w:t xml:space="preserve"> CAG enabled </w:t>
      </w:r>
      <w:r>
        <w:rPr>
          <w:rFonts w:hint="eastAsia"/>
          <w:b/>
          <w:sz w:val="22"/>
          <w:szCs w:val="22"/>
          <w:lang w:eastAsia="zh-CN"/>
        </w:rPr>
        <w:t xml:space="preserve">UE </w:t>
      </w:r>
      <w:r w:rsidR="00321E10">
        <w:rPr>
          <w:b/>
          <w:sz w:val="22"/>
          <w:szCs w:val="22"/>
          <w:lang w:eastAsia="zh-CN"/>
        </w:rPr>
        <w:t>ignores</w:t>
      </w:r>
      <w:r>
        <w:rPr>
          <w:rFonts w:hint="eastAsia"/>
          <w:b/>
          <w:sz w:val="22"/>
          <w:szCs w:val="22"/>
          <w:lang w:eastAsia="zh-CN"/>
        </w:rPr>
        <w:t xml:space="preserve"> the </w:t>
      </w:r>
      <w:r>
        <w:rPr>
          <w:rFonts w:hint="eastAsia"/>
          <w:b/>
          <w:i/>
          <w:iCs/>
          <w:sz w:val="22"/>
          <w:szCs w:val="22"/>
          <w:lang w:val="en-GB" w:eastAsia="en-GB"/>
        </w:rPr>
        <w:t>cellReservedForOtherUse</w:t>
      </w:r>
      <w:r>
        <w:rPr>
          <w:rFonts w:hint="eastAsia"/>
          <w:b/>
          <w:sz w:val="22"/>
          <w:szCs w:val="22"/>
          <w:lang w:eastAsia="zh-CN"/>
        </w:rPr>
        <w:t xml:space="preserve"> indication </w:t>
      </w:r>
      <w:r w:rsidR="00321E10">
        <w:rPr>
          <w:b/>
          <w:sz w:val="22"/>
          <w:szCs w:val="22"/>
          <w:lang w:eastAsia="zh-CN"/>
        </w:rPr>
        <w:t>of a cell providing</w:t>
      </w:r>
      <w:r>
        <w:rPr>
          <w:rFonts w:hint="eastAsia"/>
          <w:b/>
          <w:sz w:val="22"/>
          <w:szCs w:val="22"/>
          <w:lang w:eastAsia="zh-CN"/>
        </w:rPr>
        <w:t xml:space="preserve"> CAG identifier(s) </w:t>
      </w:r>
      <w:r w:rsidR="00321E10">
        <w:rPr>
          <w:b/>
          <w:sz w:val="22"/>
          <w:szCs w:val="22"/>
          <w:lang w:eastAsia="zh-CN"/>
        </w:rPr>
        <w:t>when UE has a non-empty Allowed CAG list</w:t>
      </w:r>
      <w:r>
        <w:rPr>
          <w:rFonts w:hint="eastAsia"/>
          <w:b/>
          <w:sz w:val="22"/>
          <w:szCs w:val="22"/>
          <w:lang w:eastAsia="zh-CN"/>
        </w:rPr>
        <w:t>.</w:t>
      </w:r>
    </w:p>
    <w:bookmarkEnd w:id="5"/>
    <w:bookmarkEnd w:id="6"/>
    <w:bookmarkEnd w:id="7"/>
    <w:bookmarkEnd w:id="8"/>
    <w:bookmarkEnd w:id="9"/>
    <w:bookmarkEnd w:id="10"/>
    <w:bookmarkEnd w:id="11"/>
    <w:bookmarkEnd w:id="12"/>
    <w:p w:rsidR="00183421" w:rsidRDefault="00385F6A">
      <w:pPr>
        <w:pStyle w:val="1"/>
        <w:keepLines/>
        <w:numPr>
          <w:ilvl w:val="0"/>
          <w:numId w:val="9"/>
        </w:numPr>
        <w:pBdr>
          <w:top w:val="single" w:sz="12" w:space="3" w:color="auto"/>
        </w:pBdr>
        <w:tabs>
          <w:tab w:val="left" w:pos="3588"/>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Pr>
          <w:rFonts w:cs="Times New Roman" w:hint="eastAsia"/>
          <w:b w:val="0"/>
          <w:bCs w:val="0"/>
          <w:kern w:val="0"/>
          <w:sz w:val="36"/>
          <w:szCs w:val="20"/>
          <w:lang w:val="fr-FR"/>
        </w:rPr>
        <w:tab/>
      </w:r>
    </w:p>
    <w:p w:rsidR="00183421" w:rsidRDefault="00385F6A">
      <w:pPr>
        <w:pStyle w:val="10"/>
        <w:jc w:val="both"/>
        <w:rPr>
          <w:rFonts w:eastAsia="宋体"/>
          <w:sz w:val="22"/>
          <w:szCs w:val="22"/>
          <w:lang w:eastAsia="zh-CN"/>
        </w:rPr>
      </w:pPr>
      <w:r>
        <w:rPr>
          <w:rFonts w:eastAsia="宋体"/>
          <w:sz w:val="22"/>
          <w:szCs w:val="22"/>
          <w:lang w:eastAsia="zh-CN"/>
        </w:rPr>
        <w:t>In this</w:t>
      </w:r>
      <w:r>
        <w:rPr>
          <w:rFonts w:eastAsia="宋体" w:hint="eastAsia"/>
          <w:sz w:val="22"/>
          <w:szCs w:val="22"/>
          <w:lang w:eastAsia="zh-CN"/>
        </w:rPr>
        <w:t xml:space="preserve"> contribution, </w:t>
      </w:r>
      <w:r>
        <w:rPr>
          <w:rFonts w:eastAsia="宋体"/>
          <w:sz w:val="22"/>
          <w:szCs w:val="22"/>
          <w:lang w:eastAsia="zh-CN"/>
        </w:rPr>
        <w:t>we discuss</w:t>
      </w:r>
      <w:r>
        <w:rPr>
          <w:rFonts w:eastAsia="宋体" w:hint="eastAsia"/>
          <w:sz w:val="22"/>
          <w:szCs w:val="22"/>
          <w:lang w:eastAsia="zh-CN"/>
        </w:rPr>
        <w:t xml:space="preserve"> </w:t>
      </w:r>
      <w:r>
        <w:rPr>
          <w:rFonts w:eastAsiaTheme="minorEastAsia" w:hint="eastAsia"/>
          <w:sz w:val="22"/>
          <w:szCs w:val="22"/>
          <w:lang w:eastAsia="zh-CN"/>
        </w:rPr>
        <w:t>the</w:t>
      </w:r>
      <w:r>
        <w:rPr>
          <w:rFonts w:eastAsia="宋体" w:hint="eastAsia"/>
          <w:sz w:val="22"/>
          <w:szCs w:val="22"/>
          <w:lang w:eastAsia="zh-CN"/>
        </w:rPr>
        <w:t xml:space="preserve"> SNPN/CAG cell access control</w:t>
      </w:r>
      <w:r>
        <w:rPr>
          <w:rFonts w:eastAsiaTheme="minorEastAsia" w:hint="eastAsia"/>
          <w:sz w:val="22"/>
          <w:szCs w:val="22"/>
          <w:lang w:eastAsia="zh-CN"/>
        </w:rPr>
        <w:t>, and the related proposals are as following</w:t>
      </w:r>
      <w:r>
        <w:rPr>
          <w:rFonts w:eastAsia="宋体"/>
          <w:sz w:val="22"/>
          <w:szCs w:val="22"/>
          <w:lang w:eastAsia="zh-CN"/>
        </w:rPr>
        <w:t>:</w:t>
      </w:r>
    </w:p>
    <w:bookmarkEnd w:id="3"/>
    <w:bookmarkEnd w:id="4"/>
    <w:p w:rsidR="003538FB" w:rsidRDefault="003538FB" w:rsidP="003538FB">
      <w:pPr>
        <w:jc w:val="both"/>
        <w:rPr>
          <w:b/>
          <w:sz w:val="22"/>
          <w:szCs w:val="22"/>
          <w:lang w:eastAsia="zh-CN"/>
        </w:rPr>
      </w:pPr>
      <w:r>
        <w:rPr>
          <w:rFonts w:hint="eastAsia"/>
          <w:b/>
          <w:sz w:val="22"/>
          <w:szCs w:val="22"/>
          <w:lang w:eastAsia="zh-CN"/>
        </w:rPr>
        <w:t xml:space="preserve">Proposal 1: </w:t>
      </w:r>
      <w:r>
        <w:rPr>
          <w:b/>
          <w:sz w:val="22"/>
          <w:szCs w:val="22"/>
          <w:lang w:eastAsia="zh-CN"/>
        </w:rPr>
        <w:t xml:space="preserve">The </w:t>
      </w:r>
      <w:r>
        <w:rPr>
          <w:rFonts w:hint="eastAsia"/>
          <w:b/>
          <w:i/>
          <w:iCs/>
          <w:sz w:val="22"/>
          <w:szCs w:val="22"/>
          <w:lang w:val="en-GB" w:eastAsia="en-GB"/>
        </w:rPr>
        <w:t>cellReservedForOtherUse</w:t>
      </w:r>
      <w:r>
        <w:rPr>
          <w:rFonts w:hint="eastAsia"/>
          <w:b/>
          <w:sz w:val="22"/>
          <w:szCs w:val="22"/>
          <w:lang w:eastAsia="zh-CN"/>
        </w:rPr>
        <w:t xml:space="preserve"> </w:t>
      </w:r>
      <w:r>
        <w:rPr>
          <w:b/>
          <w:sz w:val="22"/>
          <w:szCs w:val="22"/>
          <w:lang w:eastAsia="zh-CN"/>
        </w:rPr>
        <w:t>is set to true by a cell only providing SNPN access.</w:t>
      </w:r>
    </w:p>
    <w:p w:rsidR="003538FB" w:rsidRDefault="003538FB" w:rsidP="003538FB">
      <w:pPr>
        <w:jc w:val="both"/>
        <w:rPr>
          <w:b/>
          <w:sz w:val="22"/>
          <w:szCs w:val="22"/>
          <w:lang w:eastAsia="zh-CN"/>
        </w:rPr>
      </w:pPr>
      <w:r>
        <w:rPr>
          <w:rFonts w:hint="eastAsia"/>
          <w:b/>
          <w:sz w:val="22"/>
          <w:szCs w:val="22"/>
          <w:lang w:eastAsia="zh-CN"/>
        </w:rPr>
        <w:t xml:space="preserve">Proposal </w:t>
      </w:r>
      <w:r>
        <w:rPr>
          <w:b/>
          <w:sz w:val="22"/>
          <w:szCs w:val="22"/>
          <w:lang w:eastAsia="zh-CN"/>
        </w:rPr>
        <w:t>2</w:t>
      </w:r>
      <w:r>
        <w:rPr>
          <w:rFonts w:hint="eastAsia"/>
          <w:b/>
          <w:sz w:val="22"/>
          <w:szCs w:val="22"/>
          <w:lang w:eastAsia="zh-CN"/>
        </w:rPr>
        <w:t xml:space="preserve">: </w:t>
      </w:r>
      <w:r>
        <w:rPr>
          <w:b/>
          <w:sz w:val="22"/>
          <w:szCs w:val="22"/>
          <w:lang w:eastAsia="zh-CN"/>
        </w:rPr>
        <w:t xml:space="preserve">An SNPN enabled </w:t>
      </w:r>
      <w:r>
        <w:rPr>
          <w:rFonts w:hint="eastAsia"/>
          <w:b/>
          <w:sz w:val="22"/>
          <w:szCs w:val="22"/>
          <w:lang w:eastAsia="zh-CN"/>
        </w:rPr>
        <w:t xml:space="preserve">UE </w:t>
      </w:r>
      <w:r>
        <w:rPr>
          <w:b/>
          <w:sz w:val="22"/>
          <w:szCs w:val="22"/>
          <w:lang w:eastAsia="zh-CN"/>
        </w:rPr>
        <w:t>ignores</w:t>
      </w:r>
      <w:r>
        <w:rPr>
          <w:rFonts w:hint="eastAsia"/>
          <w:b/>
          <w:sz w:val="22"/>
          <w:szCs w:val="22"/>
          <w:lang w:eastAsia="zh-CN"/>
        </w:rPr>
        <w:t xml:space="preserve"> the </w:t>
      </w:r>
      <w:r>
        <w:rPr>
          <w:rFonts w:hint="eastAsia"/>
          <w:b/>
          <w:i/>
          <w:iCs/>
          <w:sz w:val="22"/>
          <w:szCs w:val="22"/>
          <w:lang w:val="en-GB" w:eastAsia="en-GB"/>
        </w:rPr>
        <w:t>cellReservedForOtherUse</w:t>
      </w:r>
      <w:r>
        <w:rPr>
          <w:rFonts w:hint="eastAsia"/>
          <w:b/>
          <w:sz w:val="22"/>
          <w:szCs w:val="22"/>
          <w:lang w:eastAsia="zh-CN"/>
        </w:rPr>
        <w:t xml:space="preserve"> indication </w:t>
      </w:r>
      <w:r>
        <w:rPr>
          <w:b/>
          <w:sz w:val="22"/>
          <w:szCs w:val="22"/>
          <w:lang w:eastAsia="zh-CN"/>
        </w:rPr>
        <w:t xml:space="preserve">of a cell providing </w:t>
      </w:r>
      <w:r>
        <w:rPr>
          <w:rFonts w:hint="eastAsia"/>
          <w:b/>
          <w:sz w:val="22"/>
          <w:szCs w:val="22"/>
          <w:lang w:eastAsia="zh-CN"/>
        </w:rPr>
        <w:t>SNPN identifier(s)</w:t>
      </w:r>
      <w:r>
        <w:rPr>
          <w:b/>
          <w:sz w:val="22"/>
          <w:szCs w:val="22"/>
          <w:lang w:eastAsia="zh-CN"/>
        </w:rPr>
        <w:t xml:space="preserve"> when the UE operates in SNPN access mode</w:t>
      </w:r>
      <w:r>
        <w:rPr>
          <w:rFonts w:hint="eastAsia"/>
          <w:b/>
          <w:sz w:val="22"/>
          <w:szCs w:val="22"/>
          <w:lang w:eastAsia="zh-CN"/>
        </w:rPr>
        <w:t>.</w:t>
      </w:r>
    </w:p>
    <w:p w:rsidR="003538FB" w:rsidRPr="00414A6D" w:rsidRDefault="003538FB" w:rsidP="003538FB">
      <w:pPr>
        <w:jc w:val="both"/>
        <w:rPr>
          <w:rFonts w:eastAsiaTheme="minorEastAsia"/>
          <w:b/>
          <w:sz w:val="22"/>
          <w:szCs w:val="22"/>
          <w:lang w:eastAsia="zh-CN"/>
        </w:rPr>
      </w:pPr>
      <w:r>
        <w:rPr>
          <w:rFonts w:hint="eastAsia"/>
          <w:b/>
          <w:sz w:val="22"/>
          <w:szCs w:val="22"/>
          <w:lang w:eastAsia="zh-CN"/>
        </w:rPr>
        <w:t xml:space="preserve">Proposal </w:t>
      </w:r>
      <w:r>
        <w:rPr>
          <w:b/>
          <w:sz w:val="22"/>
          <w:szCs w:val="22"/>
          <w:lang w:eastAsia="zh-CN"/>
        </w:rPr>
        <w:t>3</w:t>
      </w:r>
      <w:r>
        <w:rPr>
          <w:rFonts w:hint="eastAsia"/>
          <w:b/>
          <w:sz w:val="22"/>
          <w:szCs w:val="22"/>
          <w:lang w:eastAsia="zh-CN"/>
        </w:rPr>
        <w:t xml:space="preserve">: </w:t>
      </w:r>
      <w:r>
        <w:rPr>
          <w:b/>
          <w:sz w:val="22"/>
          <w:szCs w:val="22"/>
          <w:lang w:eastAsia="zh-CN"/>
        </w:rPr>
        <w:t xml:space="preserve">The </w:t>
      </w:r>
      <w:r>
        <w:rPr>
          <w:rFonts w:hint="eastAsia"/>
          <w:b/>
          <w:i/>
          <w:iCs/>
          <w:sz w:val="22"/>
          <w:szCs w:val="22"/>
          <w:lang w:val="en-GB" w:eastAsia="en-GB"/>
        </w:rPr>
        <w:t>cellReservedForOtherUse</w:t>
      </w:r>
      <w:r>
        <w:rPr>
          <w:rFonts w:hint="eastAsia"/>
          <w:b/>
          <w:sz w:val="22"/>
          <w:szCs w:val="22"/>
          <w:lang w:eastAsia="zh-CN"/>
        </w:rPr>
        <w:t xml:space="preserve"> </w:t>
      </w:r>
      <w:r>
        <w:rPr>
          <w:b/>
          <w:sz w:val="22"/>
          <w:szCs w:val="22"/>
          <w:lang w:eastAsia="zh-CN"/>
        </w:rPr>
        <w:t>is set to true by a cell providing CAG access.</w:t>
      </w:r>
    </w:p>
    <w:p w:rsidR="003538FB" w:rsidRDefault="003538FB" w:rsidP="003538FB">
      <w:pPr>
        <w:jc w:val="both"/>
        <w:rPr>
          <w:b/>
          <w:sz w:val="22"/>
          <w:szCs w:val="22"/>
          <w:lang w:eastAsia="zh-CN"/>
        </w:rPr>
      </w:pPr>
      <w:r>
        <w:rPr>
          <w:rFonts w:hint="eastAsia"/>
          <w:b/>
          <w:sz w:val="22"/>
          <w:szCs w:val="22"/>
          <w:lang w:eastAsia="zh-CN"/>
        </w:rPr>
        <w:t xml:space="preserve">Proposal </w:t>
      </w:r>
      <w:r>
        <w:rPr>
          <w:b/>
          <w:sz w:val="22"/>
          <w:szCs w:val="22"/>
          <w:lang w:eastAsia="zh-CN"/>
        </w:rPr>
        <w:t>4</w:t>
      </w:r>
      <w:r>
        <w:rPr>
          <w:rFonts w:hint="eastAsia"/>
          <w:b/>
          <w:sz w:val="22"/>
          <w:szCs w:val="22"/>
          <w:lang w:eastAsia="zh-CN"/>
        </w:rPr>
        <w:t xml:space="preserve">: </w:t>
      </w:r>
      <w:r>
        <w:rPr>
          <w:b/>
          <w:sz w:val="22"/>
          <w:szCs w:val="22"/>
          <w:lang w:eastAsia="zh-CN"/>
        </w:rPr>
        <w:t xml:space="preserve">A CAG enabled </w:t>
      </w:r>
      <w:r>
        <w:rPr>
          <w:rFonts w:hint="eastAsia"/>
          <w:b/>
          <w:sz w:val="22"/>
          <w:szCs w:val="22"/>
          <w:lang w:eastAsia="zh-CN"/>
        </w:rPr>
        <w:t xml:space="preserve">UE </w:t>
      </w:r>
      <w:r>
        <w:rPr>
          <w:b/>
          <w:sz w:val="22"/>
          <w:szCs w:val="22"/>
          <w:lang w:eastAsia="zh-CN"/>
        </w:rPr>
        <w:t>ignores</w:t>
      </w:r>
      <w:r>
        <w:rPr>
          <w:rFonts w:hint="eastAsia"/>
          <w:b/>
          <w:sz w:val="22"/>
          <w:szCs w:val="22"/>
          <w:lang w:eastAsia="zh-CN"/>
        </w:rPr>
        <w:t xml:space="preserve"> the </w:t>
      </w:r>
      <w:r>
        <w:rPr>
          <w:rFonts w:hint="eastAsia"/>
          <w:b/>
          <w:i/>
          <w:iCs/>
          <w:sz w:val="22"/>
          <w:szCs w:val="22"/>
          <w:lang w:val="en-GB" w:eastAsia="en-GB"/>
        </w:rPr>
        <w:t>cellReservedForOtherUse</w:t>
      </w:r>
      <w:r>
        <w:rPr>
          <w:rFonts w:hint="eastAsia"/>
          <w:b/>
          <w:sz w:val="22"/>
          <w:szCs w:val="22"/>
          <w:lang w:eastAsia="zh-CN"/>
        </w:rPr>
        <w:t xml:space="preserve"> indication </w:t>
      </w:r>
      <w:r>
        <w:rPr>
          <w:b/>
          <w:sz w:val="22"/>
          <w:szCs w:val="22"/>
          <w:lang w:eastAsia="zh-CN"/>
        </w:rPr>
        <w:t>of a cell providing</w:t>
      </w:r>
      <w:r>
        <w:rPr>
          <w:rFonts w:hint="eastAsia"/>
          <w:b/>
          <w:sz w:val="22"/>
          <w:szCs w:val="22"/>
          <w:lang w:eastAsia="zh-CN"/>
        </w:rPr>
        <w:t xml:space="preserve"> CAG identifier(s) </w:t>
      </w:r>
      <w:r>
        <w:rPr>
          <w:b/>
          <w:sz w:val="22"/>
          <w:szCs w:val="22"/>
          <w:lang w:eastAsia="zh-CN"/>
        </w:rPr>
        <w:t>when UE has a non-empty Allowed CAG list</w:t>
      </w:r>
      <w:r>
        <w:rPr>
          <w:rFonts w:hint="eastAsia"/>
          <w:b/>
          <w:sz w:val="22"/>
          <w:szCs w:val="22"/>
          <w:lang w:eastAsia="zh-CN"/>
        </w:rPr>
        <w:t>.</w:t>
      </w:r>
    </w:p>
    <w:p w:rsidR="00183421" w:rsidRDefault="00385F6A">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183421" w:rsidRDefault="00385F6A">
      <w:pPr>
        <w:pStyle w:val="a7"/>
        <w:numPr>
          <w:ilvl w:val="0"/>
          <w:numId w:val="12"/>
        </w:numPr>
        <w:snapToGrid w:val="0"/>
        <w:spacing w:line="268" w:lineRule="auto"/>
        <w:contextualSpacing/>
        <w:rPr>
          <w:iCs/>
          <w:sz w:val="22"/>
          <w:szCs w:val="22"/>
        </w:rPr>
      </w:pPr>
      <w:r>
        <w:rPr>
          <w:iCs/>
          <w:sz w:val="22"/>
          <w:szCs w:val="22"/>
        </w:rPr>
        <w:t>RP-190</w:t>
      </w:r>
      <w:r>
        <w:rPr>
          <w:rFonts w:hint="eastAsia"/>
          <w:iCs/>
          <w:sz w:val="22"/>
          <w:szCs w:val="22"/>
          <w:lang w:eastAsia="zh-CN"/>
        </w:rPr>
        <w:t>729, WID on Private</w:t>
      </w:r>
      <w:r>
        <w:rPr>
          <w:iCs/>
          <w:sz w:val="22"/>
          <w:szCs w:val="22"/>
        </w:rPr>
        <w:t xml:space="preserve"> </w:t>
      </w:r>
      <w:r>
        <w:rPr>
          <w:rFonts w:hint="eastAsia"/>
          <w:iCs/>
          <w:sz w:val="22"/>
          <w:szCs w:val="22"/>
          <w:lang w:eastAsia="zh-CN"/>
        </w:rPr>
        <w:t>Network Support for NG-RAN.</w:t>
      </w:r>
    </w:p>
    <w:p w:rsidR="00183421" w:rsidRDefault="00385F6A">
      <w:pPr>
        <w:pStyle w:val="a7"/>
        <w:numPr>
          <w:ilvl w:val="0"/>
          <w:numId w:val="12"/>
        </w:numPr>
        <w:snapToGrid w:val="0"/>
        <w:spacing w:line="268" w:lineRule="auto"/>
        <w:contextualSpacing/>
        <w:rPr>
          <w:iCs/>
          <w:sz w:val="22"/>
          <w:szCs w:val="22"/>
          <w:lang w:val="en-GB" w:eastAsia="zh-CN"/>
        </w:rPr>
      </w:pPr>
      <w:bookmarkStart w:id="13" w:name="_Ref4876"/>
      <w:r>
        <w:rPr>
          <w:rFonts w:hint="eastAsia"/>
          <w:iCs/>
          <w:sz w:val="22"/>
          <w:szCs w:val="22"/>
          <w:lang w:eastAsia="zh-CN"/>
        </w:rPr>
        <w:t xml:space="preserve">3GPP TS 23.501, </w:t>
      </w:r>
      <w:bookmarkEnd w:id="13"/>
      <w:r>
        <w:rPr>
          <w:rFonts w:hint="eastAsia"/>
          <w:iCs/>
          <w:sz w:val="22"/>
          <w:szCs w:val="22"/>
          <w:lang w:eastAsia="zh-CN"/>
        </w:rPr>
        <w:t>System Architecture f</w:t>
      </w:r>
      <w:bookmarkStart w:id="14" w:name="_GoBack"/>
      <w:bookmarkEnd w:id="14"/>
      <w:r>
        <w:rPr>
          <w:rFonts w:hint="eastAsia"/>
          <w:iCs/>
          <w:sz w:val="22"/>
          <w:szCs w:val="22"/>
          <w:lang w:eastAsia="zh-CN"/>
        </w:rPr>
        <w:t>or the 5G System.</w:t>
      </w:r>
    </w:p>
    <w:sectPr w:rsidR="00183421">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E6C" w:rsidRDefault="009C5E6C">
      <w:pPr>
        <w:spacing w:after="0" w:line="240" w:lineRule="auto"/>
      </w:pPr>
      <w:r>
        <w:separator/>
      </w:r>
    </w:p>
  </w:endnote>
  <w:endnote w:type="continuationSeparator" w:id="0">
    <w:p w:rsidR="009C5E6C" w:rsidRDefault="009C5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E6C" w:rsidRDefault="009C5E6C">
      <w:pPr>
        <w:spacing w:after="0" w:line="240" w:lineRule="auto"/>
      </w:pPr>
      <w:r>
        <w:separator/>
      </w:r>
    </w:p>
  </w:footnote>
  <w:footnote w:type="continuationSeparator" w:id="0">
    <w:p w:rsidR="009C5E6C" w:rsidRDefault="009C5E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3421" w:rsidRDefault="00183421">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AE4F36C"/>
    <w:multiLevelType w:val="singleLevel"/>
    <w:tmpl w:val="4AE4F36C"/>
    <w:lvl w:ilvl="0">
      <w:start w:val="1"/>
      <w:numFmt w:val="decimal"/>
      <w:suff w:val="space"/>
      <w:lvlText w:val="(%1)"/>
      <w:lvlJc w:val="left"/>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10"/>
  </w:num>
  <w:num w:numId="3">
    <w:abstractNumId w:val="7"/>
  </w:num>
  <w:num w:numId="4">
    <w:abstractNumId w:val="3"/>
  </w:num>
  <w:num w:numId="5">
    <w:abstractNumId w:val="5"/>
  </w:num>
  <w:num w:numId="6">
    <w:abstractNumId w:val="6"/>
  </w:num>
  <w:num w:numId="7">
    <w:abstractNumId w:val="2"/>
  </w:num>
  <w:num w:numId="8">
    <w:abstractNumId w:val="9"/>
  </w:num>
  <w:num w:numId="9">
    <w:abstractNumId w:val="8"/>
  </w:num>
  <w:num w:numId="10">
    <w:abstractNumId w:val="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0EB9"/>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421"/>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2BF1"/>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1693"/>
    <w:rsid w:val="00321E10"/>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38FB"/>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5F6A"/>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2E29"/>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6D"/>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508"/>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2D3"/>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0CD2"/>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031"/>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971"/>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46B"/>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57A8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0618"/>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CA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5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4AF"/>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07E88"/>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C5A"/>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322"/>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E6C"/>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27"/>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987"/>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802"/>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614C7D"/>
    <w:rsid w:val="01694E67"/>
    <w:rsid w:val="01864057"/>
    <w:rsid w:val="01B077EB"/>
    <w:rsid w:val="01B20C8F"/>
    <w:rsid w:val="01D078D0"/>
    <w:rsid w:val="01D50125"/>
    <w:rsid w:val="021C6CAF"/>
    <w:rsid w:val="0238652A"/>
    <w:rsid w:val="02903C0F"/>
    <w:rsid w:val="02A92CDF"/>
    <w:rsid w:val="02B47648"/>
    <w:rsid w:val="02E14CAD"/>
    <w:rsid w:val="030B3ED4"/>
    <w:rsid w:val="03826601"/>
    <w:rsid w:val="039D54AB"/>
    <w:rsid w:val="03B54A55"/>
    <w:rsid w:val="04115AFE"/>
    <w:rsid w:val="04524EA1"/>
    <w:rsid w:val="04615CDC"/>
    <w:rsid w:val="04FF29AD"/>
    <w:rsid w:val="052A20FD"/>
    <w:rsid w:val="053254F0"/>
    <w:rsid w:val="05591AB1"/>
    <w:rsid w:val="058B5252"/>
    <w:rsid w:val="05A13051"/>
    <w:rsid w:val="05B5412D"/>
    <w:rsid w:val="05C23860"/>
    <w:rsid w:val="0608551F"/>
    <w:rsid w:val="067F3434"/>
    <w:rsid w:val="06BA1D94"/>
    <w:rsid w:val="06CE11CF"/>
    <w:rsid w:val="070D1974"/>
    <w:rsid w:val="083039AA"/>
    <w:rsid w:val="08357DCD"/>
    <w:rsid w:val="083D3A51"/>
    <w:rsid w:val="086223ED"/>
    <w:rsid w:val="087702C7"/>
    <w:rsid w:val="088C3DB2"/>
    <w:rsid w:val="08A76877"/>
    <w:rsid w:val="08AB2C68"/>
    <w:rsid w:val="08D66A23"/>
    <w:rsid w:val="08F6353C"/>
    <w:rsid w:val="091F2FF8"/>
    <w:rsid w:val="092730F1"/>
    <w:rsid w:val="094273F0"/>
    <w:rsid w:val="097208F9"/>
    <w:rsid w:val="09912E74"/>
    <w:rsid w:val="0994075E"/>
    <w:rsid w:val="09AB3244"/>
    <w:rsid w:val="09DC2A58"/>
    <w:rsid w:val="09E21D25"/>
    <w:rsid w:val="0A5E0B3B"/>
    <w:rsid w:val="0B021627"/>
    <w:rsid w:val="0B127285"/>
    <w:rsid w:val="0B267C6A"/>
    <w:rsid w:val="0B90355A"/>
    <w:rsid w:val="0BCF0AFD"/>
    <w:rsid w:val="0C000E69"/>
    <w:rsid w:val="0C1D03AD"/>
    <w:rsid w:val="0C264EA1"/>
    <w:rsid w:val="0C5A23EE"/>
    <w:rsid w:val="0CB016F8"/>
    <w:rsid w:val="0CF07FE0"/>
    <w:rsid w:val="0D36664C"/>
    <w:rsid w:val="0DC8391A"/>
    <w:rsid w:val="0DD106BD"/>
    <w:rsid w:val="0E7427DE"/>
    <w:rsid w:val="0EAE208A"/>
    <w:rsid w:val="0EE47DA3"/>
    <w:rsid w:val="0EFA11C9"/>
    <w:rsid w:val="0F591052"/>
    <w:rsid w:val="0F686298"/>
    <w:rsid w:val="0F6E43C3"/>
    <w:rsid w:val="0FB1050E"/>
    <w:rsid w:val="0FDF28A2"/>
    <w:rsid w:val="10047BA6"/>
    <w:rsid w:val="107A59CC"/>
    <w:rsid w:val="10B37C7E"/>
    <w:rsid w:val="10BB7427"/>
    <w:rsid w:val="10DB2CFC"/>
    <w:rsid w:val="110A0D65"/>
    <w:rsid w:val="110C310C"/>
    <w:rsid w:val="113B66D4"/>
    <w:rsid w:val="114C24DA"/>
    <w:rsid w:val="12154870"/>
    <w:rsid w:val="126A75E9"/>
    <w:rsid w:val="129016BB"/>
    <w:rsid w:val="12CE0FA7"/>
    <w:rsid w:val="12EF01B9"/>
    <w:rsid w:val="13056212"/>
    <w:rsid w:val="1306150A"/>
    <w:rsid w:val="1307597E"/>
    <w:rsid w:val="13271014"/>
    <w:rsid w:val="135A713B"/>
    <w:rsid w:val="137F2B7F"/>
    <w:rsid w:val="139B5C05"/>
    <w:rsid w:val="13A40878"/>
    <w:rsid w:val="13B05518"/>
    <w:rsid w:val="13CB3167"/>
    <w:rsid w:val="13D446A1"/>
    <w:rsid w:val="13D604D8"/>
    <w:rsid w:val="1412190B"/>
    <w:rsid w:val="14174C1A"/>
    <w:rsid w:val="141E1608"/>
    <w:rsid w:val="14351C3C"/>
    <w:rsid w:val="14485E3B"/>
    <w:rsid w:val="146C06DA"/>
    <w:rsid w:val="147715ED"/>
    <w:rsid w:val="14EE3FD8"/>
    <w:rsid w:val="15027F9B"/>
    <w:rsid w:val="152B00A9"/>
    <w:rsid w:val="1569228F"/>
    <w:rsid w:val="15C01F4D"/>
    <w:rsid w:val="15C26791"/>
    <w:rsid w:val="16411638"/>
    <w:rsid w:val="165E1141"/>
    <w:rsid w:val="168B3E0E"/>
    <w:rsid w:val="16A72FC1"/>
    <w:rsid w:val="16EC686D"/>
    <w:rsid w:val="16F8773E"/>
    <w:rsid w:val="17236079"/>
    <w:rsid w:val="17D73F50"/>
    <w:rsid w:val="17DD315F"/>
    <w:rsid w:val="185F1FCD"/>
    <w:rsid w:val="18987DCE"/>
    <w:rsid w:val="18A86E0B"/>
    <w:rsid w:val="191A216A"/>
    <w:rsid w:val="192619BB"/>
    <w:rsid w:val="1934431B"/>
    <w:rsid w:val="19622A45"/>
    <w:rsid w:val="197A73D7"/>
    <w:rsid w:val="19915399"/>
    <w:rsid w:val="1A2C5181"/>
    <w:rsid w:val="1A4D123E"/>
    <w:rsid w:val="1A8F295C"/>
    <w:rsid w:val="1A8F3D53"/>
    <w:rsid w:val="1A954D8C"/>
    <w:rsid w:val="1AC27541"/>
    <w:rsid w:val="1AC35D09"/>
    <w:rsid w:val="1ACC1744"/>
    <w:rsid w:val="1AD21901"/>
    <w:rsid w:val="1AFA5AFC"/>
    <w:rsid w:val="1B206006"/>
    <w:rsid w:val="1B814A5D"/>
    <w:rsid w:val="1B957C7B"/>
    <w:rsid w:val="1B9F45E2"/>
    <w:rsid w:val="1BE30972"/>
    <w:rsid w:val="1C2321C2"/>
    <w:rsid w:val="1CE461D9"/>
    <w:rsid w:val="1CF322F2"/>
    <w:rsid w:val="1D202C9C"/>
    <w:rsid w:val="1D6E5404"/>
    <w:rsid w:val="1DA64BE5"/>
    <w:rsid w:val="1DBB356B"/>
    <w:rsid w:val="1DC8140A"/>
    <w:rsid w:val="1DDE5F55"/>
    <w:rsid w:val="1E01142D"/>
    <w:rsid w:val="1E7C1CB9"/>
    <w:rsid w:val="1EC22ECA"/>
    <w:rsid w:val="1F281457"/>
    <w:rsid w:val="1F45783F"/>
    <w:rsid w:val="1F704FD5"/>
    <w:rsid w:val="1F9F4112"/>
    <w:rsid w:val="1FA1245C"/>
    <w:rsid w:val="1FF21A80"/>
    <w:rsid w:val="201A7183"/>
    <w:rsid w:val="20376B72"/>
    <w:rsid w:val="2091671E"/>
    <w:rsid w:val="20A34F2C"/>
    <w:rsid w:val="20B53025"/>
    <w:rsid w:val="216B49E0"/>
    <w:rsid w:val="22092F48"/>
    <w:rsid w:val="223700A3"/>
    <w:rsid w:val="22D82BAC"/>
    <w:rsid w:val="235B24A6"/>
    <w:rsid w:val="23692D4F"/>
    <w:rsid w:val="236972D7"/>
    <w:rsid w:val="23CB1319"/>
    <w:rsid w:val="24133258"/>
    <w:rsid w:val="241B66A4"/>
    <w:rsid w:val="243902F2"/>
    <w:rsid w:val="251872D3"/>
    <w:rsid w:val="25283914"/>
    <w:rsid w:val="255D595B"/>
    <w:rsid w:val="258B6CB7"/>
    <w:rsid w:val="25932CFA"/>
    <w:rsid w:val="260F41BF"/>
    <w:rsid w:val="266A6C26"/>
    <w:rsid w:val="26D649A2"/>
    <w:rsid w:val="270820F8"/>
    <w:rsid w:val="273D41C3"/>
    <w:rsid w:val="27780769"/>
    <w:rsid w:val="27C7350B"/>
    <w:rsid w:val="27EC7458"/>
    <w:rsid w:val="28072F61"/>
    <w:rsid w:val="288D488A"/>
    <w:rsid w:val="28DE4E8F"/>
    <w:rsid w:val="292A2A11"/>
    <w:rsid w:val="29316A3B"/>
    <w:rsid w:val="29444D25"/>
    <w:rsid w:val="296D77CC"/>
    <w:rsid w:val="29792BC7"/>
    <w:rsid w:val="297A2089"/>
    <w:rsid w:val="297F6754"/>
    <w:rsid w:val="29A72A9B"/>
    <w:rsid w:val="29BB709F"/>
    <w:rsid w:val="29C22469"/>
    <w:rsid w:val="29EC5134"/>
    <w:rsid w:val="29F541C7"/>
    <w:rsid w:val="2A606AD8"/>
    <w:rsid w:val="2ADA467F"/>
    <w:rsid w:val="2AF239B6"/>
    <w:rsid w:val="2B15226F"/>
    <w:rsid w:val="2B3E0F37"/>
    <w:rsid w:val="2C4D65CB"/>
    <w:rsid w:val="2C6E435E"/>
    <w:rsid w:val="2C9660A5"/>
    <w:rsid w:val="2CD759E4"/>
    <w:rsid w:val="2CEE193F"/>
    <w:rsid w:val="2CEE1A70"/>
    <w:rsid w:val="2D493022"/>
    <w:rsid w:val="2D9337BC"/>
    <w:rsid w:val="2D9A75E1"/>
    <w:rsid w:val="2DF619E1"/>
    <w:rsid w:val="2DFB533B"/>
    <w:rsid w:val="2DFB60F8"/>
    <w:rsid w:val="2E0919EB"/>
    <w:rsid w:val="2E4777DC"/>
    <w:rsid w:val="2E731C47"/>
    <w:rsid w:val="2E7543E0"/>
    <w:rsid w:val="2E8641EB"/>
    <w:rsid w:val="2EB36C4E"/>
    <w:rsid w:val="2EFA6158"/>
    <w:rsid w:val="2F2C6EB6"/>
    <w:rsid w:val="2F490617"/>
    <w:rsid w:val="2F634499"/>
    <w:rsid w:val="2FC91174"/>
    <w:rsid w:val="30162D01"/>
    <w:rsid w:val="307A42FA"/>
    <w:rsid w:val="30820CEF"/>
    <w:rsid w:val="3083312B"/>
    <w:rsid w:val="30846789"/>
    <w:rsid w:val="314538CF"/>
    <w:rsid w:val="317F3E4E"/>
    <w:rsid w:val="31864DF2"/>
    <w:rsid w:val="31E6723E"/>
    <w:rsid w:val="32110F92"/>
    <w:rsid w:val="323243DE"/>
    <w:rsid w:val="32FA3A2E"/>
    <w:rsid w:val="330E0ACF"/>
    <w:rsid w:val="332F4380"/>
    <w:rsid w:val="338B6178"/>
    <w:rsid w:val="33B266DD"/>
    <w:rsid w:val="33C70149"/>
    <w:rsid w:val="34595A71"/>
    <w:rsid w:val="34621C19"/>
    <w:rsid w:val="348D7254"/>
    <w:rsid w:val="34B857DE"/>
    <w:rsid w:val="34D175CD"/>
    <w:rsid w:val="3500021F"/>
    <w:rsid w:val="35D02C21"/>
    <w:rsid w:val="36291376"/>
    <w:rsid w:val="364E3D41"/>
    <w:rsid w:val="36A466CD"/>
    <w:rsid w:val="36C82063"/>
    <w:rsid w:val="37503053"/>
    <w:rsid w:val="37703F1F"/>
    <w:rsid w:val="37943AFB"/>
    <w:rsid w:val="37B8369B"/>
    <w:rsid w:val="37FB2BCE"/>
    <w:rsid w:val="383C5403"/>
    <w:rsid w:val="385D3A84"/>
    <w:rsid w:val="386A760A"/>
    <w:rsid w:val="388F4480"/>
    <w:rsid w:val="38994C37"/>
    <w:rsid w:val="389D1BA9"/>
    <w:rsid w:val="396613FE"/>
    <w:rsid w:val="396A292C"/>
    <w:rsid w:val="39B425F7"/>
    <w:rsid w:val="39D85165"/>
    <w:rsid w:val="3A2E2F37"/>
    <w:rsid w:val="3A2E670B"/>
    <w:rsid w:val="3A844F1E"/>
    <w:rsid w:val="3A90247F"/>
    <w:rsid w:val="3A9E6B0C"/>
    <w:rsid w:val="3AA00C92"/>
    <w:rsid w:val="3B1E55CE"/>
    <w:rsid w:val="3B686068"/>
    <w:rsid w:val="3B785B63"/>
    <w:rsid w:val="3B947E3C"/>
    <w:rsid w:val="3B977398"/>
    <w:rsid w:val="3BA17624"/>
    <w:rsid w:val="3BC02C6D"/>
    <w:rsid w:val="3C3E2EFB"/>
    <w:rsid w:val="3C3F44F8"/>
    <w:rsid w:val="3C4F2FE2"/>
    <w:rsid w:val="3CCC56A2"/>
    <w:rsid w:val="3CF15E7E"/>
    <w:rsid w:val="3D366551"/>
    <w:rsid w:val="3D4E7040"/>
    <w:rsid w:val="3D635494"/>
    <w:rsid w:val="3DC00249"/>
    <w:rsid w:val="3E3E27CF"/>
    <w:rsid w:val="3E4921D6"/>
    <w:rsid w:val="3E790D7D"/>
    <w:rsid w:val="3EF13917"/>
    <w:rsid w:val="3EFA5DC1"/>
    <w:rsid w:val="3F174F56"/>
    <w:rsid w:val="3F186AC4"/>
    <w:rsid w:val="3F26214B"/>
    <w:rsid w:val="3F561D95"/>
    <w:rsid w:val="3F6A0042"/>
    <w:rsid w:val="3FE576CA"/>
    <w:rsid w:val="405135BD"/>
    <w:rsid w:val="40553046"/>
    <w:rsid w:val="408440F6"/>
    <w:rsid w:val="40E14CD8"/>
    <w:rsid w:val="40F41352"/>
    <w:rsid w:val="410605FE"/>
    <w:rsid w:val="412E3821"/>
    <w:rsid w:val="413A6077"/>
    <w:rsid w:val="413E2733"/>
    <w:rsid w:val="416F71DB"/>
    <w:rsid w:val="417C1D9A"/>
    <w:rsid w:val="419A23C7"/>
    <w:rsid w:val="41A26B5E"/>
    <w:rsid w:val="41C9696D"/>
    <w:rsid w:val="41CA0607"/>
    <w:rsid w:val="41D9678F"/>
    <w:rsid w:val="42496F39"/>
    <w:rsid w:val="425C095C"/>
    <w:rsid w:val="42686B85"/>
    <w:rsid w:val="427646CD"/>
    <w:rsid w:val="429A6176"/>
    <w:rsid w:val="43607E5D"/>
    <w:rsid w:val="43650527"/>
    <w:rsid w:val="436E1EAD"/>
    <w:rsid w:val="437C0688"/>
    <w:rsid w:val="43C10AA6"/>
    <w:rsid w:val="43ED2711"/>
    <w:rsid w:val="440C78E3"/>
    <w:rsid w:val="44163D72"/>
    <w:rsid w:val="44171ACC"/>
    <w:rsid w:val="442C6151"/>
    <w:rsid w:val="445B4566"/>
    <w:rsid w:val="44B663F5"/>
    <w:rsid w:val="44DC110A"/>
    <w:rsid w:val="450A02EF"/>
    <w:rsid w:val="455A3046"/>
    <w:rsid w:val="45D24D0A"/>
    <w:rsid w:val="463D3DC4"/>
    <w:rsid w:val="463E6CCF"/>
    <w:rsid w:val="465A1D21"/>
    <w:rsid w:val="467E45B6"/>
    <w:rsid w:val="46812124"/>
    <w:rsid w:val="46A47021"/>
    <w:rsid w:val="46C56D82"/>
    <w:rsid w:val="46D5189F"/>
    <w:rsid w:val="47594A32"/>
    <w:rsid w:val="47795E1B"/>
    <w:rsid w:val="47940E59"/>
    <w:rsid w:val="47AE4ABE"/>
    <w:rsid w:val="47EF6C94"/>
    <w:rsid w:val="480E08BE"/>
    <w:rsid w:val="482554FB"/>
    <w:rsid w:val="482D14E3"/>
    <w:rsid w:val="484F56FA"/>
    <w:rsid w:val="48811D05"/>
    <w:rsid w:val="49704C57"/>
    <w:rsid w:val="497679DB"/>
    <w:rsid w:val="499B06D2"/>
    <w:rsid w:val="4A081012"/>
    <w:rsid w:val="4A1B6D0A"/>
    <w:rsid w:val="4A2462D0"/>
    <w:rsid w:val="4A307B63"/>
    <w:rsid w:val="4A703CFF"/>
    <w:rsid w:val="4AD16025"/>
    <w:rsid w:val="4AD160DF"/>
    <w:rsid w:val="4AE0549F"/>
    <w:rsid w:val="4B0152BB"/>
    <w:rsid w:val="4B2C4196"/>
    <w:rsid w:val="4B9A7E3F"/>
    <w:rsid w:val="4BB26C34"/>
    <w:rsid w:val="4BF27C0A"/>
    <w:rsid w:val="4C1E3664"/>
    <w:rsid w:val="4C385C92"/>
    <w:rsid w:val="4C876772"/>
    <w:rsid w:val="4CE37C89"/>
    <w:rsid w:val="4CF8153C"/>
    <w:rsid w:val="4D150414"/>
    <w:rsid w:val="4D1D031D"/>
    <w:rsid w:val="4D2933D6"/>
    <w:rsid w:val="4D6C0D8F"/>
    <w:rsid w:val="4D75575E"/>
    <w:rsid w:val="4D832E80"/>
    <w:rsid w:val="4D963441"/>
    <w:rsid w:val="4DB63E3F"/>
    <w:rsid w:val="4DCE7C4E"/>
    <w:rsid w:val="4E06686B"/>
    <w:rsid w:val="4E112E7B"/>
    <w:rsid w:val="4E570757"/>
    <w:rsid w:val="4EA562C5"/>
    <w:rsid w:val="4EB12936"/>
    <w:rsid w:val="4EE00C13"/>
    <w:rsid w:val="4EE66FC1"/>
    <w:rsid w:val="4EE9191D"/>
    <w:rsid w:val="4EEF2B1D"/>
    <w:rsid w:val="4F06356D"/>
    <w:rsid w:val="4F06376D"/>
    <w:rsid w:val="4F36242E"/>
    <w:rsid w:val="4F750DF5"/>
    <w:rsid w:val="4F8234AA"/>
    <w:rsid w:val="4FA93EB3"/>
    <w:rsid w:val="501A3A58"/>
    <w:rsid w:val="503D09F5"/>
    <w:rsid w:val="505B3800"/>
    <w:rsid w:val="5094745C"/>
    <w:rsid w:val="50A16FD9"/>
    <w:rsid w:val="50D444DD"/>
    <w:rsid w:val="50DE4FCB"/>
    <w:rsid w:val="511D769D"/>
    <w:rsid w:val="5138606C"/>
    <w:rsid w:val="51805D33"/>
    <w:rsid w:val="521D7522"/>
    <w:rsid w:val="523C578C"/>
    <w:rsid w:val="525F3D88"/>
    <w:rsid w:val="52831708"/>
    <w:rsid w:val="529311CC"/>
    <w:rsid w:val="52C97697"/>
    <w:rsid w:val="52F74795"/>
    <w:rsid w:val="53137A6C"/>
    <w:rsid w:val="53353880"/>
    <w:rsid w:val="537E7999"/>
    <w:rsid w:val="539D32B5"/>
    <w:rsid w:val="53E002F8"/>
    <w:rsid w:val="54066985"/>
    <w:rsid w:val="54356BDE"/>
    <w:rsid w:val="54503C7E"/>
    <w:rsid w:val="545A2AA8"/>
    <w:rsid w:val="547478BD"/>
    <w:rsid w:val="54FD2DAB"/>
    <w:rsid w:val="552B343A"/>
    <w:rsid w:val="55522D00"/>
    <w:rsid w:val="558563C9"/>
    <w:rsid w:val="560F4F0B"/>
    <w:rsid w:val="561E4DCB"/>
    <w:rsid w:val="56371204"/>
    <w:rsid w:val="56400DEF"/>
    <w:rsid w:val="565D4D19"/>
    <w:rsid w:val="566B5827"/>
    <w:rsid w:val="567A55E4"/>
    <w:rsid w:val="569A5907"/>
    <w:rsid w:val="569E0479"/>
    <w:rsid w:val="573F1B3C"/>
    <w:rsid w:val="574F574C"/>
    <w:rsid w:val="57530013"/>
    <w:rsid w:val="57D42552"/>
    <w:rsid w:val="5842073A"/>
    <w:rsid w:val="586B55CC"/>
    <w:rsid w:val="58C030E9"/>
    <w:rsid w:val="597726B0"/>
    <w:rsid w:val="59CB2CB5"/>
    <w:rsid w:val="5A471F20"/>
    <w:rsid w:val="5A7C190B"/>
    <w:rsid w:val="5A7D304D"/>
    <w:rsid w:val="5AA531A6"/>
    <w:rsid w:val="5AC40849"/>
    <w:rsid w:val="5AE406F3"/>
    <w:rsid w:val="5B015775"/>
    <w:rsid w:val="5B0D17AB"/>
    <w:rsid w:val="5B231303"/>
    <w:rsid w:val="5B3359D7"/>
    <w:rsid w:val="5B557B08"/>
    <w:rsid w:val="5C2B429A"/>
    <w:rsid w:val="5C38187B"/>
    <w:rsid w:val="5C4222BD"/>
    <w:rsid w:val="5C7A347B"/>
    <w:rsid w:val="5CA3433B"/>
    <w:rsid w:val="5CB27AE5"/>
    <w:rsid w:val="5CBD5F52"/>
    <w:rsid w:val="5CE768EE"/>
    <w:rsid w:val="5D96166F"/>
    <w:rsid w:val="5E1E5BF1"/>
    <w:rsid w:val="5E4B46FC"/>
    <w:rsid w:val="5E9523E5"/>
    <w:rsid w:val="5E962798"/>
    <w:rsid w:val="5EBC1EC5"/>
    <w:rsid w:val="5EEE1D7C"/>
    <w:rsid w:val="5EEF2648"/>
    <w:rsid w:val="5EF33ADB"/>
    <w:rsid w:val="5EFE5A25"/>
    <w:rsid w:val="5F1F2E7C"/>
    <w:rsid w:val="5F51659A"/>
    <w:rsid w:val="5FB90619"/>
    <w:rsid w:val="600C25CA"/>
    <w:rsid w:val="601D12EB"/>
    <w:rsid w:val="602C2DA6"/>
    <w:rsid w:val="6039341A"/>
    <w:rsid w:val="603B1C3B"/>
    <w:rsid w:val="604058C6"/>
    <w:rsid w:val="60427A9C"/>
    <w:rsid w:val="6068426B"/>
    <w:rsid w:val="60B33EBA"/>
    <w:rsid w:val="60BE2174"/>
    <w:rsid w:val="61285C63"/>
    <w:rsid w:val="613276F9"/>
    <w:rsid w:val="61733DD6"/>
    <w:rsid w:val="61A6170D"/>
    <w:rsid w:val="61C644FA"/>
    <w:rsid w:val="61E23A85"/>
    <w:rsid w:val="625C0240"/>
    <w:rsid w:val="62BD669C"/>
    <w:rsid w:val="62CD6BE1"/>
    <w:rsid w:val="62D76D94"/>
    <w:rsid w:val="62D81EC7"/>
    <w:rsid w:val="62D82DD3"/>
    <w:rsid w:val="62E63518"/>
    <w:rsid w:val="62FC03F9"/>
    <w:rsid w:val="630A7527"/>
    <w:rsid w:val="637B54C5"/>
    <w:rsid w:val="63997FF5"/>
    <w:rsid w:val="63E949DE"/>
    <w:rsid w:val="641B3F3E"/>
    <w:rsid w:val="64384FFB"/>
    <w:rsid w:val="64993065"/>
    <w:rsid w:val="64E45291"/>
    <w:rsid w:val="65022431"/>
    <w:rsid w:val="650A5677"/>
    <w:rsid w:val="654C56C6"/>
    <w:rsid w:val="659636CD"/>
    <w:rsid w:val="65B35DC3"/>
    <w:rsid w:val="65F03CFA"/>
    <w:rsid w:val="66197D69"/>
    <w:rsid w:val="662B0723"/>
    <w:rsid w:val="668563DD"/>
    <w:rsid w:val="66D01D46"/>
    <w:rsid w:val="670F271F"/>
    <w:rsid w:val="672C691A"/>
    <w:rsid w:val="672E44F2"/>
    <w:rsid w:val="674F6E5D"/>
    <w:rsid w:val="68225A48"/>
    <w:rsid w:val="685E44E1"/>
    <w:rsid w:val="68992869"/>
    <w:rsid w:val="68A83CA1"/>
    <w:rsid w:val="68D51B7B"/>
    <w:rsid w:val="69873254"/>
    <w:rsid w:val="69A92E85"/>
    <w:rsid w:val="69E04756"/>
    <w:rsid w:val="69EF5B70"/>
    <w:rsid w:val="6A62583C"/>
    <w:rsid w:val="6AA908B0"/>
    <w:rsid w:val="6AAA4B7F"/>
    <w:rsid w:val="6AB35818"/>
    <w:rsid w:val="6ADE3A55"/>
    <w:rsid w:val="6B347C2C"/>
    <w:rsid w:val="6BA46E00"/>
    <w:rsid w:val="6BE36442"/>
    <w:rsid w:val="6BED4ACE"/>
    <w:rsid w:val="6BF03644"/>
    <w:rsid w:val="6BFD2F84"/>
    <w:rsid w:val="6C5C520C"/>
    <w:rsid w:val="6CAF52EA"/>
    <w:rsid w:val="6CC233CE"/>
    <w:rsid w:val="6D7910C6"/>
    <w:rsid w:val="6DCC5B05"/>
    <w:rsid w:val="6E024282"/>
    <w:rsid w:val="6E1801AA"/>
    <w:rsid w:val="6E3F54ED"/>
    <w:rsid w:val="6E4B2F37"/>
    <w:rsid w:val="6E522350"/>
    <w:rsid w:val="6E782E2F"/>
    <w:rsid w:val="6E9F29A5"/>
    <w:rsid w:val="6EC50DCB"/>
    <w:rsid w:val="6F0347BE"/>
    <w:rsid w:val="6F0F7186"/>
    <w:rsid w:val="6F13478C"/>
    <w:rsid w:val="6F1F7D4C"/>
    <w:rsid w:val="6F256129"/>
    <w:rsid w:val="6F400DF9"/>
    <w:rsid w:val="6F680A00"/>
    <w:rsid w:val="6F786EF3"/>
    <w:rsid w:val="6F9156A7"/>
    <w:rsid w:val="6F931526"/>
    <w:rsid w:val="6F9E0E74"/>
    <w:rsid w:val="6FA3645B"/>
    <w:rsid w:val="70281646"/>
    <w:rsid w:val="70D00287"/>
    <w:rsid w:val="70F30B65"/>
    <w:rsid w:val="70F5560A"/>
    <w:rsid w:val="710152CF"/>
    <w:rsid w:val="71263B6C"/>
    <w:rsid w:val="717F354D"/>
    <w:rsid w:val="71B65482"/>
    <w:rsid w:val="71D3334A"/>
    <w:rsid w:val="71DF7D69"/>
    <w:rsid w:val="72086A47"/>
    <w:rsid w:val="72445114"/>
    <w:rsid w:val="72622690"/>
    <w:rsid w:val="729013DF"/>
    <w:rsid w:val="729D78A3"/>
    <w:rsid w:val="72B56937"/>
    <w:rsid w:val="72C32207"/>
    <w:rsid w:val="72D00846"/>
    <w:rsid w:val="73045A92"/>
    <w:rsid w:val="736F5FDB"/>
    <w:rsid w:val="73700E4D"/>
    <w:rsid w:val="738F46F6"/>
    <w:rsid w:val="73AB029A"/>
    <w:rsid w:val="73EF49F5"/>
    <w:rsid w:val="74006A50"/>
    <w:rsid w:val="74436E87"/>
    <w:rsid w:val="74A57A6A"/>
    <w:rsid w:val="7508756A"/>
    <w:rsid w:val="7529455F"/>
    <w:rsid w:val="755957E2"/>
    <w:rsid w:val="758E6EDE"/>
    <w:rsid w:val="7591020A"/>
    <w:rsid w:val="759938A5"/>
    <w:rsid w:val="763516C6"/>
    <w:rsid w:val="76777C95"/>
    <w:rsid w:val="7692538B"/>
    <w:rsid w:val="772C4193"/>
    <w:rsid w:val="774C7B50"/>
    <w:rsid w:val="77627E60"/>
    <w:rsid w:val="77A44225"/>
    <w:rsid w:val="78B051B0"/>
    <w:rsid w:val="79127F92"/>
    <w:rsid w:val="791F5951"/>
    <w:rsid w:val="79285AF6"/>
    <w:rsid w:val="7933700A"/>
    <w:rsid w:val="79561B77"/>
    <w:rsid w:val="79573DDE"/>
    <w:rsid w:val="798B0B4F"/>
    <w:rsid w:val="7A0730F1"/>
    <w:rsid w:val="7A102029"/>
    <w:rsid w:val="7A2D7592"/>
    <w:rsid w:val="7A5913FD"/>
    <w:rsid w:val="7A7065C6"/>
    <w:rsid w:val="7AAA72A9"/>
    <w:rsid w:val="7AB051C9"/>
    <w:rsid w:val="7ABC7736"/>
    <w:rsid w:val="7B0374D1"/>
    <w:rsid w:val="7B885239"/>
    <w:rsid w:val="7BA071BD"/>
    <w:rsid w:val="7BE71EC1"/>
    <w:rsid w:val="7C037334"/>
    <w:rsid w:val="7C181D14"/>
    <w:rsid w:val="7C2C0D6F"/>
    <w:rsid w:val="7C68624B"/>
    <w:rsid w:val="7CAB49DC"/>
    <w:rsid w:val="7CEE41E5"/>
    <w:rsid w:val="7D05623C"/>
    <w:rsid w:val="7D061D9E"/>
    <w:rsid w:val="7D271501"/>
    <w:rsid w:val="7D281714"/>
    <w:rsid w:val="7E104193"/>
    <w:rsid w:val="7E13337F"/>
    <w:rsid w:val="7E54644E"/>
    <w:rsid w:val="7E567B35"/>
    <w:rsid w:val="7E714D7A"/>
    <w:rsid w:val="7E841D1B"/>
    <w:rsid w:val="7EB145A5"/>
    <w:rsid w:val="7ECF284E"/>
    <w:rsid w:val="7EE54B83"/>
    <w:rsid w:val="7EF62D45"/>
    <w:rsid w:val="7F3F27CA"/>
    <w:rsid w:val="7F4D5145"/>
    <w:rsid w:val="7FE54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86D78C-7A5B-4CDD-B4AB-96AF4E533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240" w:after="60"/>
      <w:outlineLvl w:val="1"/>
    </w:pPr>
    <w:rPr>
      <w:rFonts w:eastAsia="MS Mincho"/>
      <w:iCs/>
      <w:szCs w:val="28"/>
    </w:rPr>
  </w:style>
  <w:style w:type="paragraph" w:styleId="3">
    <w:name w:val="heading 3"/>
    <w:basedOn w:val="20"/>
    <w:next w:val="a"/>
    <w:link w:val="3Char"/>
    <w:qFormat/>
    <w:pPr>
      <w:numPr>
        <w:ilvl w:val="2"/>
      </w:numPr>
      <w:outlineLvl w:val="2"/>
    </w:pPr>
    <w:rPr>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rPr>
      <w:b/>
      <w:bCs/>
    </w:rPr>
  </w:style>
  <w:style w:type="paragraph" w:styleId="a4">
    <w:name w:val="annotation text"/>
    <w:basedOn w:val="a"/>
    <w:semiHidden/>
    <w:qFormat/>
  </w:style>
  <w:style w:type="paragraph" w:styleId="a5">
    <w:name w:val="caption"/>
    <w:basedOn w:val="a"/>
    <w:next w:val="a"/>
    <w:link w:val="Char"/>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qFormat/>
    <w:pPr>
      <w:shd w:val="clear" w:color="auto" w:fill="000080"/>
    </w:pPr>
  </w:style>
  <w:style w:type="paragraph" w:styleId="a7">
    <w:name w:val="Body Text"/>
    <w:basedOn w:val="a"/>
    <w:link w:val="Char0"/>
    <w:qFormat/>
    <w:pPr>
      <w:spacing w:after="120"/>
      <w:jc w:val="both"/>
    </w:pPr>
    <w:rPr>
      <w:rFonts w:eastAsia="MS Mincho"/>
    </w:r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uiPriority w:val="99"/>
    <w:qFormat/>
    <w:pPr>
      <w:tabs>
        <w:tab w:val="center" w:pos="4536"/>
        <w:tab w:val="right" w:pos="9072"/>
      </w:tabs>
    </w:pPr>
    <w:rPr>
      <w:rFonts w:ascii="Arial" w:eastAsia="MS Mincho" w:hAnsi="Arial"/>
      <w:b/>
    </w:rPr>
  </w:style>
  <w:style w:type="character" w:styleId="ac">
    <w:name w:val="Hyperlink"/>
    <w:uiPriority w:val="99"/>
    <w:qFormat/>
    <w:rPr>
      <w:color w:val="0000FF"/>
      <w:u w:val="single"/>
    </w:rPr>
  </w:style>
  <w:style w:type="character" w:styleId="ad">
    <w:name w:val="annotation reference"/>
    <w:semiHidden/>
    <w:qFormat/>
    <w:rPr>
      <w:sz w:val="21"/>
      <w:szCs w:val="21"/>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link w:val="a5"/>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7"/>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0">
    <w:name w:val="正文文本 Char"/>
    <w:link w:val="a7"/>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1">
    <w:name w:val="页眉 Char"/>
    <w:link w:val="ab"/>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
    <w:name w:val="List Paragraph"/>
    <w:basedOn w:val="a"/>
    <w:link w:val="Char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
    <w:uiPriority w:val="34"/>
    <w:qFormat/>
    <w:locked/>
    <w:rPr>
      <w:rFonts w:ascii="Calibri" w:hAnsi="Calibri"/>
      <w:kern w:val="2"/>
      <w:sz w:val="21"/>
      <w:szCs w:val="22"/>
    </w:rPr>
  </w:style>
  <w:style w:type="paragraph" w:customStyle="1" w:styleId="af0">
    <w:name w:val="插图题注"/>
    <w:basedOn w:val="a"/>
    <w:qFormat/>
    <w:pPr>
      <w:spacing w:after="180"/>
    </w:pPr>
    <w:rPr>
      <w:rFonts w:eastAsia="宋体"/>
      <w:szCs w:val="20"/>
      <w:lang w:val="en-GB"/>
    </w:rPr>
  </w:style>
  <w:style w:type="paragraph" w:customStyle="1" w:styleId="af1">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a"/>
    <w:qFormat/>
    <w:pPr>
      <w:numPr>
        <w:numId w:val="7"/>
      </w:numPr>
      <w:tabs>
        <w:tab w:val="left" w:pos="1701"/>
      </w:tabs>
    </w:pPr>
    <w:rPr>
      <w:b/>
      <w:bCs/>
    </w:rPr>
  </w:style>
  <w:style w:type="paragraph" w:customStyle="1" w:styleId="Agreement">
    <w:name w:val="Agreement"/>
    <w:basedOn w:val="a"/>
    <w:next w:val="Doc-text2"/>
    <w:qFormat/>
    <w:pPr>
      <w:numPr>
        <w:numId w:val="8"/>
      </w:numPr>
      <w:spacing w:before="60"/>
    </w:pPr>
    <w:rPr>
      <w:b/>
    </w:rPr>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91F8D1-151F-4429-997A-EA725C7B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1079</Words>
  <Characters>6152</Characters>
  <Application>Microsoft Office Word</Application>
  <DocSecurity>0</DocSecurity>
  <Lines>51</Lines>
  <Paragraphs>14</Paragraphs>
  <ScaleCrop>false</ScaleCrop>
  <Company>Vivo</Company>
  <LinksUpToDate>false</LinksUpToDate>
  <CharactersWithSpaces>7217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张艳霞</cp:lastModifiedBy>
  <cp:revision>3</cp:revision>
  <cp:lastPrinted>2011-08-03T09:36:00Z</cp:lastPrinted>
  <dcterms:created xsi:type="dcterms:W3CDTF">2019-08-16T06:50:00Z</dcterms:created>
  <dcterms:modified xsi:type="dcterms:W3CDTF">2019-08-16T06:50:00Z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